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华文中宋" w:hAnsi="华文中宋" w:eastAsia="华文中宋" w:cs="Times New Roman"/>
          <w:b/>
          <w:color w:val="auto"/>
          <w:sz w:val="28"/>
          <w:szCs w:val="28"/>
        </w:rPr>
      </w:pPr>
      <w:bookmarkStart w:id="0" w:name="_Toc321811500"/>
      <w:bookmarkStart w:id="1" w:name="_Toc350156757"/>
      <w:bookmarkStart w:id="2" w:name="_Toc321810911"/>
    </w:p>
    <w:p>
      <w:pPr>
        <w:spacing w:line="360" w:lineRule="auto"/>
        <w:jc w:val="left"/>
        <w:rPr>
          <w:rFonts w:ascii="华文中宋" w:hAnsi="华文中宋" w:eastAsia="华文中宋" w:cs="Times New Roman"/>
          <w:b/>
          <w:color w:val="auto"/>
          <w:sz w:val="28"/>
          <w:szCs w:val="28"/>
        </w:rPr>
      </w:pPr>
    </w:p>
    <w:p>
      <w:pPr>
        <w:jc w:val="center"/>
        <w:rPr>
          <w:rFonts w:ascii="Times New Roman" w:hAnsi="Times New Roman" w:cs="Times New Roman"/>
          <w:b/>
          <w:color w:val="auto"/>
          <w:sz w:val="52"/>
          <w:szCs w:val="21"/>
        </w:rPr>
      </w:pPr>
    </w:p>
    <w:p>
      <w:pPr>
        <w:pStyle w:val="2"/>
        <w:rPr>
          <w:rFonts w:cs="Times New Roman"/>
          <w:b/>
          <w:color w:val="auto"/>
          <w:sz w:val="52"/>
        </w:rPr>
      </w:pPr>
    </w:p>
    <w:p>
      <w:pPr>
        <w:pStyle w:val="2"/>
        <w:rPr>
          <w:rFonts w:cs="Times New Roman"/>
          <w:b/>
          <w:color w:val="auto"/>
          <w:sz w:val="52"/>
        </w:rPr>
      </w:pPr>
    </w:p>
    <w:p>
      <w:pPr>
        <w:spacing w:line="800" w:lineRule="exact"/>
        <w:jc w:val="center"/>
        <w:rPr>
          <w:rFonts w:ascii="Times New Roman" w:hAnsi="Times New Roman" w:eastAsia="仿宋_GB2312" w:cs="Times New Roman"/>
          <w:b/>
          <w:bCs/>
          <w:color w:val="auto"/>
          <w:sz w:val="52"/>
          <w:szCs w:val="52"/>
        </w:rPr>
      </w:pPr>
      <w:r>
        <w:rPr>
          <w:rFonts w:hint="eastAsia" w:ascii="Times New Roman" w:hAnsi="Times New Roman" w:eastAsia="仿宋_GB2312" w:cs="Times New Roman"/>
          <w:b/>
          <w:bCs/>
          <w:color w:val="auto"/>
          <w:sz w:val="52"/>
          <w:szCs w:val="52"/>
          <w:lang w:val="en-US" w:eastAsia="zh-CN"/>
        </w:rPr>
        <w:t>黔东南州</w:t>
      </w:r>
      <w:r>
        <w:rPr>
          <w:rFonts w:hint="eastAsia" w:eastAsia="仿宋_GB2312" w:cs="Times New Roman"/>
          <w:b/>
          <w:bCs/>
          <w:color w:val="auto"/>
          <w:sz w:val="52"/>
          <w:szCs w:val="52"/>
          <w:lang w:val="en-US" w:eastAsia="zh-CN"/>
        </w:rPr>
        <w:t>突发环境事件</w:t>
      </w:r>
      <w:r>
        <w:rPr>
          <w:rFonts w:ascii="Times New Roman" w:hAnsi="Times New Roman" w:eastAsia="仿宋_GB2312" w:cs="Times New Roman"/>
          <w:b/>
          <w:bCs/>
          <w:color w:val="auto"/>
          <w:sz w:val="52"/>
          <w:szCs w:val="52"/>
        </w:rPr>
        <w:t>应急预案</w:t>
      </w:r>
    </w:p>
    <w:p>
      <w:pPr>
        <w:spacing w:line="800" w:lineRule="exact"/>
        <w:jc w:val="center"/>
        <w:rPr>
          <w:rFonts w:hint="eastAsia" w:ascii="Times New Roman" w:hAnsi="Times New Roman" w:eastAsia="仿宋_GB2312" w:cs="Times New Roman"/>
          <w:b/>
          <w:bCs/>
          <w:color w:val="auto"/>
          <w:sz w:val="52"/>
          <w:szCs w:val="52"/>
          <w:lang w:eastAsia="zh-CN"/>
        </w:rPr>
      </w:pPr>
      <w:r>
        <w:rPr>
          <w:rFonts w:hint="eastAsia" w:ascii="Times New Roman" w:hAnsi="Times New Roman" w:eastAsia="仿宋_GB2312" w:cs="Times New Roman"/>
          <w:b/>
          <w:bCs/>
          <w:color w:val="auto"/>
          <w:sz w:val="52"/>
          <w:szCs w:val="52"/>
          <w:lang w:eastAsia="zh-CN"/>
        </w:rPr>
        <w:t>（</w:t>
      </w:r>
      <w:r>
        <w:rPr>
          <w:rFonts w:hint="eastAsia" w:eastAsia="仿宋_GB2312" w:cs="Times New Roman"/>
          <w:b/>
          <w:bCs/>
          <w:color w:val="auto"/>
          <w:sz w:val="52"/>
          <w:szCs w:val="52"/>
          <w:lang w:val="en-US" w:eastAsia="zh-CN"/>
        </w:rPr>
        <w:t>2022</w:t>
      </w:r>
      <w:r>
        <w:rPr>
          <w:rFonts w:hint="eastAsia" w:ascii="Times New Roman" w:hAnsi="Times New Roman" w:eastAsia="仿宋_GB2312" w:cs="Times New Roman"/>
          <w:b/>
          <w:bCs/>
          <w:color w:val="auto"/>
          <w:sz w:val="52"/>
          <w:szCs w:val="52"/>
          <w:lang w:val="en-US" w:eastAsia="zh-CN"/>
        </w:rPr>
        <w:t>修订</w:t>
      </w:r>
      <w:r>
        <w:rPr>
          <w:rFonts w:hint="eastAsia" w:ascii="Times New Roman" w:hAnsi="Times New Roman" w:eastAsia="仿宋_GB2312" w:cs="Times New Roman"/>
          <w:b/>
          <w:bCs/>
          <w:color w:val="auto"/>
          <w:sz w:val="52"/>
          <w:szCs w:val="52"/>
          <w:lang w:eastAsia="zh-CN"/>
        </w:rPr>
        <w:t>）</w:t>
      </w:r>
    </w:p>
    <w:p>
      <w:pPr>
        <w:spacing w:line="800" w:lineRule="exact"/>
        <w:jc w:val="center"/>
        <w:rPr>
          <w:rFonts w:hint="eastAsia" w:ascii="Times New Roman" w:hAnsi="Times New Roman" w:eastAsia="仿宋_GB2312" w:cs="Times New Roman"/>
          <w:b/>
          <w:bCs/>
          <w:color w:val="auto"/>
          <w:sz w:val="56"/>
          <w:szCs w:val="56"/>
          <w:lang w:eastAsia="zh-CN"/>
        </w:rPr>
      </w:pPr>
    </w:p>
    <w:p>
      <w:pPr>
        <w:jc w:val="center"/>
        <w:rPr>
          <w:rFonts w:ascii="Times New Roman" w:hAnsi="Times New Roman" w:cs="Times New Roman"/>
          <w:b/>
          <w:color w:val="auto"/>
          <w:sz w:val="52"/>
          <w:szCs w:val="21"/>
        </w:rPr>
      </w:pPr>
    </w:p>
    <w:p>
      <w:pPr>
        <w:jc w:val="center"/>
        <w:rPr>
          <w:rFonts w:ascii="Times New Roman" w:hAnsi="Times New Roman" w:cs="Times New Roman"/>
          <w:b/>
          <w:color w:val="auto"/>
          <w:sz w:val="52"/>
          <w:szCs w:val="21"/>
        </w:rPr>
      </w:pPr>
    </w:p>
    <w:p>
      <w:pPr>
        <w:jc w:val="center"/>
        <w:rPr>
          <w:rFonts w:ascii="Times New Roman" w:hAnsi="Times New Roman" w:cs="Times New Roman"/>
          <w:b/>
          <w:color w:val="auto"/>
          <w:sz w:val="52"/>
          <w:szCs w:val="21"/>
        </w:rPr>
      </w:pPr>
    </w:p>
    <w:p>
      <w:pPr>
        <w:jc w:val="center"/>
        <w:rPr>
          <w:rFonts w:ascii="Times New Roman" w:hAnsi="Times New Roman" w:cs="Times New Roman"/>
          <w:b/>
          <w:color w:val="auto"/>
          <w:sz w:val="52"/>
          <w:szCs w:val="21"/>
        </w:rPr>
      </w:pPr>
    </w:p>
    <w:p>
      <w:pPr>
        <w:jc w:val="center"/>
        <w:rPr>
          <w:rFonts w:ascii="Times New Roman" w:hAnsi="Times New Roman" w:cs="Times New Roman"/>
          <w:b/>
          <w:color w:val="auto"/>
          <w:sz w:val="52"/>
          <w:szCs w:val="21"/>
        </w:rPr>
      </w:pPr>
    </w:p>
    <w:p>
      <w:pPr>
        <w:jc w:val="center"/>
        <w:rPr>
          <w:rFonts w:ascii="Times New Roman" w:hAnsi="Times New Roman" w:cs="Times New Roman"/>
          <w:b/>
          <w:color w:val="auto"/>
          <w:sz w:val="52"/>
          <w:szCs w:val="21"/>
        </w:rPr>
      </w:pPr>
    </w:p>
    <w:p>
      <w:pPr>
        <w:jc w:val="center"/>
        <w:rPr>
          <w:rFonts w:ascii="Times New Roman" w:hAnsi="Times New Roman" w:cs="Times New Roman"/>
          <w:b/>
          <w:color w:val="auto"/>
          <w:sz w:val="52"/>
          <w:szCs w:val="21"/>
        </w:rPr>
      </w:pPr>
    </w:p>
    <w:p>
      <w:pPr>
        <w:jc w:val="center"/>
        <w:rPr>
          <w:rFonts w:ascii="Times New Roman" w:hAnsi="Times New Roman" w:cs="Times New Roman"/>
          <w:b/>
          <w:color w:val="auto"/>
          <w:sz w:val="52"/>
          <w:szCs w:val="21"/>
        </w:rPr>
      </w:pPr>
    </w:p>
    <w:p>
      <w:pPr>
        <w:rPr>
          <w:rFonts w:ascii="Times New Roman" w:hAnsi="Times New Roman" w:cs="Times New Roman"/>
          <w:b/>
          <w:color w:val="auto"/>
          <w:sz w:val="52"/>
          <w:szCs w:val="21"/>
        </w:rPr>
      </w:pPr>
    </w:p>
    <w:p>
      <w:pPr>
        <w:rPr>
          <w:rFonts w:ascii="Times New Roman" w:hAnsi="Times New Roman" w:cs="Times New Roman"/>
          <w:b/>
          <w:color w:val="auto"/>
          <w:sz w:val="52"/>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方正仿宋_GB2312" w:eastAsia="仿宋_GB2312" w:cs="方正仿宋_GB2312"/>
          <w:b/>
          <w:color w:val="auto"/>
          <w:sz w:val="36"/>
          <w:szCs w:val="36"/>
          <w:lang w:val="en-US" w:eastAsia="zh-CN"/>
        </w:rPr>
      </w:pPr>
      <w:r>
        <w:rPr>
          <w:rFonts w:hint="eastAsia" w:ascii="仿宋_GB2312" w:hAnsi="方正仿宋_GB2312" w:eastAsia="仿宋_GB2312" w:cs="方正仿宋_GB2312"/>
          <w:b/>
          <w:color w:val="auto"/>
          <w:sz w:val="36"/>
          <w:szCs w:val="36"/>
        </w:rPr>
        <w:t>制定单位：</w:t>
      </w:r>
      <w:r>
        <w:rPr>
          <w:rFonts w:hint="eastAsia" w:ascii="仿宋_GB2312" w:hAnsi="方正仿宋_GB2312" w:eastAsia="仿宋_GB2312" w:cs="方正仿宋_GB2312"/>
          <w:b/>
          <w:color w:val="auto"/>
          <w:sz w:val="36"/>
          <w:szCs w:val="36"/>
          <w:lang w:val="en-US" w:eastAsia="zh-CN"/>
        </w:rPr>
        <w:t>黔东南州人民政府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华文中宋" w:hAnsi="华文中宋" w:eastAsia="华文中宋" w:cs="Times New Roman"/>
          <w:color w:val="auto"/>
          <w:kern w:val="0"/>
          <w:sz w:val="24"/>
          <w:szCs w:val="30"/>
        </w:rPr>
        <w:sectPr>
          <w:footerReference r:id="rId3" w:type="default"/>
          <w:pgSz w:w="11906" w:h="16838"/>
          <w:pgMar w:top="1417" w:right="1417" w:bottom="1417" w:left="1417" w:header="851" w:footer="992" w:gutter="0"/>
          <w:cols w:space="720" w:num="1"/>
          <w:docGrid w:type="lines" w:linePitch="312" w:charSpace="0"/>
        </w:sectPr>
      </w:pPr>
      <w:r>
        <w:rPr>
          <w:rFonts w:hint="eastAsia" w:ascii="仿宋_GB2312" w:hAnsi="方正仿宋_GB2312" w:eastAsia="仿宋_GB2312" w:cs="方正仿宋_GB2312"/>
          <w:b/>
          <w:color w:val="auto"/>
          <w:sz w:val="36"/>
          <w:szCs w:val="36"/>
        </w:rPr>
        <w:t>编制日期：二〇</w:t>
      </w:r>
      <w:r>
        <w:rPr>
          <w:rFonts w:hint="eastAsia" w:ascii="仿宋_GB2312" w:hAnsi="方正仿宋_GB2312" w:eastAsia="仿宋_GB2312" w:cs="方正仿宋_GB2312"/>
          <w:b/>
          <w:color w:val="auto"/>
          <w:sz w:val="36"/>
          <w:szCs w:val="36"/>
          <w:lang w:val="en-US" w:eastAsia="zh-CN"/>
        </w:rPr>
        <w:t>二二</w:t>
      </w:r>
      <w:bookmarkStart w:id="155" w:name="_GoBack"/>
      <w:bookmarkEnd w:id="155"/>
      <w:r>
        <w:rPr>
          <w:rFonts w:hint="eastAsia" w:ascii="仿宋_GB2312" w:hAnsi="方正仿宋_GB2312" w:eastAsia="仿宋_GB2312" w:cs="方正仿宋_GB2312"/>
          <w:b/>
          <w:color w:val="auto"/>
          <w:sz w:val="36"/>
          <w:szCs w:val="36"/>
        </w:rPr>
        <w:t>年</w:t>
      </w:r>
      <w:r>
        <w:rPr>
          <w:rFonts w:hint="eastAsia" w:ascii="仿宋_GB2312" w:hAnsi="方正仿宋_GB2312" w:eastAsia="仿宋_GB2312" w:cs="方正仿宋_GB2312"/>
          <w:b/>
          <w:color w:val="auto"/>
          <w:sz w:val="36"/>
          <w:szCs w:val="36"/>
          <w:lang w:val="en-US" w:eastAsia="zh-CN"/>
        </w:rPr>
        <w:t>十</w:t>
      </w:r>
      <w:r>
        <w:rPr>
          <w:rFonts w:hint="eastAsia" w:ascii="仿宋_GB2312" w:hAnsi="方正仿宋_GB2312" w:eastAsia="仿宋_GB2312" w:cs="方正仿宋_GB2312"/>
          <w:b/>
          <w:color w:val="auto"/>
          <w:sz w:val="36"/>
          <w:szCs w:val="36"/>
        </w:rPr>
        <w:t>月</w:t>
      </w:r>
    </w:p>
    <w:p>
      <w:pPr>
        <w:pStyle w:val="23"/>
        <w:spacing w:line="440" w:lineRule="exact"/>
        <w:jc w:val="center"/>
        <w:rPr>
          <w:rFonts w:hint="eastAsia" w:ascii="Times New Roman" w:hAnsi="Times New Roman" w:eastAsia="仿宋_GB2312" w:cs="Times New Roman"/>
          <w:b/>
          <w:bCs/>
          <w:color w:val="auto"/>
          <w:kern w:val="2"/>
          <w:sz w:val="36"/>
          <w:szCs w:val="36"/>
          <w:lang w:val="en-US" w:eastAsia="zh-CN" w:bidi="ar-SA"/>
        </w:rPr>
      </w:pPr>
      <w:bookmarkStart w:id="3" w:name="_Toc20043"/>
      <w:bookmarkStart w:id="4" w:name="_Toc3413"/>
      <w:bookmarkStart w:id="5" w:name="_Toc7655"/>
      <w:bookmarkStart w:id="6" w:name="_Toc6112"/>
      <w:r>
        <w:rPr>
          <w:rFonts w:hint="eastAsia" w:ascii="Times New Roman" w:hAnsi="Times New Roman" w:eastAsia="仿宋_GB2312" w:cs="Times New Roman"/>
          <w:b/>
          <w:bCs/>
          <w:color w:val="auto"/>
          <w:kern w:val="2"/>
          <w:sz w:val="36"/>
          <w:szCs w:val="36"/>
          <w:lang w:val="zh-CN" w:eastAsia="zh-CN" w:bidi="ar-SA"/>
        </w:rPr>
        <w:t>目 录</w:t>
      </w:r>
      <w:bookmarkEnd w:id="3"/>
      <w:bookmarkEnd w:id="4"/>
      <w:bookmarkEnd w:id="5"/>
      <w:bookmarkEnd w:id="6"/>
    </w:p>
    <w:p>
      <w:pPr>
        <w:pStyle w:val="9"/>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TOC \o "1-3" \h \z \u </w:instrText>
      </w:r>
      <w:r>
        <w:rPr>
          <w:rFonts w:hint="eastAsia" w:ascii="仿宋" w:hAnsi="仿宋" w:eastAsia="仿宋" w:cs="仿宋"/>
          <w:color w:val="auto"/>
          <w:sz w:val="32"/>
          <w:szCs w:val="32"/>
        </w:rPr>
        <w:fldChar w:fldCharType="separate"/>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HYPERLINK \l _Toc3088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一、总则</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_Toc3088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1</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en-US"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_Toc30883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1.1 编制目的</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_Toc30883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1</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_Toc3771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1.2 编制依据</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_Toc3771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1</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_Toc8940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1.3 适用范围</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_Toc8940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2</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_Toc21489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1.4 工作原则</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_Toc21489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3</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_Toc23538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1.5 事件分级</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_Toc23538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3</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_Toc9041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1.6 预案体系</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_Toc9041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3</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9"/>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_Toc23425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二、组织机构及职责</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_Toc23425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4</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_Toc17076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2.1 州级层面指挥机构</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_Toc17076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4</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_Toc725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2.2 县（市、开发区）级层面指挥机构</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_Toc725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15</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9"/>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_Toc16975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三、监测预警</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_Toc16975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15</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_Toc19473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3.1 风险监测</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_Toc19473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15</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_Toc28400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3.2 风险预警及发布</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_Toc28400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17</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_Toc15316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3.3 预警响应</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_Toc15316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18</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9"/>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_Toc20025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四、信息报告</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_Toc20025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19</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_Toc1093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4.1 基本要求</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_Toc1093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19</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_Toc6619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4.2 时限要求</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_Toc6619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20</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_Toc2648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4.3 报送内容</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_Toc2648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21</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9"/>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_Toc23510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五、应对响应与处置</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_Toc23510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21</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_Toc6762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5.1 响应分级</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_Toc6762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21</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_Toc12727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5.2 处置措施</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_Toc12727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22</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_Toc28198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5.3 信息通报</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_Toc28198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24</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_Toc32642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5.4 信息发布</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_Toc32642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24</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_Toc20069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5.5 终止程序</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_Toc20069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25</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9"/>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_Toc30003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六、善后处理</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_Toc30003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25</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_Toc15519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6.1 损害评估</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_Toc15519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26</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_Toc15024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6.2 事件调查</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_Toc15024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26</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_Toc21742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6.3 安置、补偿与理赔</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_Toc21742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26</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9"/>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_Toc21652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七、应急保障</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_Toc21652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26</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_Toc1899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7.1 队伍保障</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_Toc1899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26</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_Toc17085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7.2 物资保障</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_Toc17085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27</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_Toc6581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7.3 资金保障</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_Toc6581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27</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_Toc11446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7.4 监测预警能力保障</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_Toc11446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28</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_Toc21479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7.5 信息保障</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_Toc21479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28</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_Toc1511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7.6 通信、交通与运输保障</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_Toc1511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28</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_Toc24735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7.7 医疗卫生保障</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_Toc24735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28</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_Toc2050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7.8 科普宣教</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_Toc2050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29</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9"/>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_Toc3619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八、责任与奖惩</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_Toc3619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29</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_Toc24076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8.1 奖励</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_Toc24076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29</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_Toc478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8.2 责任追究</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_Toc478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29</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9"/>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_Toc27763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九、附则</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_Toc27763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29</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_Toc14470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9.1 预案管理</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_Toc14470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30</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_Toc18189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9.2 预案解释</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_Toc18189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30</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_Toc16549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9.3 预案实施</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_Toc16549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30</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_Toc11266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附件1 突发环境事件分级标准</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_Toc11266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32</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_Toc19053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附件2 现场应急组织机构</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_Toc19053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35</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_Toc21213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附件3 预警信息发布模板</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_Toc21213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36</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_Toc16105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附件4 信息报告模板</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_Toc16105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37</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_Toc24165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附件5 突发事件应对处置流程图</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_Toc24165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40</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_Toc29931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附件6 各类突发环境事件应急处置原则</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_Toc29931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41</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_Toc19898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附件7 专家组成员名单</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_Toc19898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44</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_Toc24917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附件8 环境应急物资储备清单</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_Toc24917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45</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Style w:val="11"/>
        <w:tabs>
          <w:tab w:val="right" w:leader="dot" w:pos="9072"/>
        </w:tabs>
      </w:pPr>
      <w:r>
        <w:rPr>
          <w:rFonts w:hint="eastAsia" w:ascii="仿宋_GB2312" w:hAnsi="宋体" w:eastAsia="仿宋_GB2312" w:cs="Times New Roman"/>
          <w:color w:val="auto"/>
          <w:kern w:val="2"/>
          <w:sz w:val="32"/>
          <w:szCs w:val="32"/>
          <w:highlight w:val="none"/>
          <w:lang w:val="zh-CN" w:eastAsia="zh-CN" w:bidi="ar-SA"/>
        </w:rPr>
        <w:fldChar w:fldCharType="begin"/>
      </w:r>
      <w:r>
        <w:rPr>
          <w:rFonts w:hint="eastAsia" w:ascii="仿宋_GB2312" w:hAnsi="宋体" w:eastAsia="仿宋_GB2312" w:cs="Times New Roman"/>
          <w:color w:val="auto"/>
          <w:kern w:val="2"/>
          <w:sz w:val="32"/>
          <w:szCs w:val="32"/>
          <w:highlight w:val="none"/>
          <w:lang w:val="zh-CN" w:eastAsia="zh-CN" w:bidi="ar-SA"/>
        </w:rPr>
        <w:instrText xml:space="preserve"> HYPERLINK \l _Toc27058 </w:instrText>
      </w:r>
      <w:r>
        <w:rPr>
          <w:rFonts w:hint="eastAsia" w:ascii="仿宋_GB2312" w:hAnsi="宋体" w:eastAsia="仿宋_GB2312" w:cs="Times New Roman"/>
          <w:color w:val="auto"/>
          <w:kern w:val="2"/>
          <w:sz w:val="32"/>
          <w:szCs w:val="32"/>
          <w:highlight w:val="none"/>
          <w:lang w:val="zh-CN"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附件9 州生态环境安全应急指挥部成员单位联系方式</w:t>
      </w:r>
      <w:r>
        <w:rPr>
          <w:rFonts w:hint="eastAsia" w:ascii="仿宋_GB2312" w:hAnsi="宋体" w:eastAsia="仿宋_GB2312" w:cs="Times New Roman"/>
          <w:color w:val="auto"/>
          <w:kern w:val="2"/>
          <w:sz w:val="32"/>
          <w:szCs w:val="32"/>
          <w:highlight w:val="none"/>
          <w:lang w:val="en-US" w:eastAsia="zh-CN" w:bidi="ar-SA"/>
        </w:rPr>
        <w:tab/>
      </w:r>
      <w:r>
        <w:rPr>
          <w:rFonts w:hint="eastAsia" w:ascii="仿宋_GB2312" w:hAnsi="宋体" w:eastAsia="仿宋_GB2312" w:cs="Times New Roman"/>
          <w:color w:val="auto"/>
          <w:kern w:val="2"/>
          <w:sz w:val="32"/>
          <w:szCs w:val="32"/>
          <w:highlight w:val="none"/>
          <w:lang w:val="en-US" w:eastAsia="zh-CN" w:bidi="ar-SA"/>
        </w:rPr>
        <w:fldChar w:fldCharType="begin"/>
      </w:r>
      <w:r>
        <w:rPr>
          <w:rFonts w:hint="eastAsia" w:ascii="仿宋_GB2312" w:hAnsi="宋体" w:eastAsia="仿宋_GB2312" w:cs="Times New Roman"/>
          <w:color w:val="auto"/>
          <w:kern w:val="2"/>
          <w:sz w:val="32"/>
          <w:szCs w:val="32"/>
          <w:highlight w:val="none"/>
          <w:lang w:val="en-US" w:eastAsia="zh-CN" w:bidi="ar-SA"/>
        </w:rPr>
        <w:instrText xml:space="preserve"> PAGEREF _Toc27058 \h </w:instrText>
      </w:r>
      <w:r>
        <w:rPr>
          <w:rFonts w:hint="eastAsia" w:ascii="仿宋_GB2312" w:hAnsi="宋体" w:eastAsia="仿宋_GB2312" w:cs="Times New Roman"/>
          <w:color w:val="auto"/>
          <w:kern w:val="2"/>
          <w:sz w:val="32"/>
          <w:szCs w:val="32"/>
          <w:highlight w:val="none"/>
          <w:lang w:val="en-US" w:eastAsia="zh-CN" w:bidi="ar-SA"/>
        </w:rPr>
        <w:fldChar w:fldCharType="separate"/>
      </w:r>
      <w:r>
        <w:rPr>
          <w:rFonts w:hint="eastAsia" w:ascii="仿宋_GB2312" w:hAnsi="宋体" w:eastAsia="仿宋_GB2312" w:cs="Times New Roman"/>
          <w:color w:val="auto"/>
          <w:kern w:val="2"/>
          <w:sz w:val="32"/>
          <w:szCs w:val="32"/>
          <w:highlight w:val="none"/>
          <w:lang w:val="en-US" w:eastAsia="zh-CN" w:bidi="ar-SA"/>
        </w:rPr>
        <w:t>50</w:t>
      </w:r>
      <w:r>
        <w:rPr>
          <w:rFonts w:hint="eastAsia" w:ascii="仿宋_GB2312" w:hAnsi="宋体" w:eastAsia="仿宋_GB2312" w:cs="Times New Roman"/>
          <w:color w:val="auto"/>
          <w:kern w:val="2"/>
          <w:sz w:val="32"/>
          <w:szCs w:val="32"/>
          <w:highlight w:val="none"/>
          <w:lang w:val="en-US" w:eastAsia="zh-CN" w:bidi="ar-SA"/>
        </w:rPr>
        <w:fldChar w:fldCharType="end"/>
      </w:r>
      <w:r>
        <w:rPr>
          <w:rFonts w:hint="eastAsia" w:ascii="仿宋_GB2312" w:hAnsi="宋体" w:eastAsia="仿宋_GB2312" w:cs="Times New Roman"/>
          <w:color w:val="auto"/>
          <w:kern w:val="2"/>
          <w:sz w:val="32"/>
          <w:szCs w:val="32"/>
          <w:highlight w:val="none"/>
          <w:lang w:val="zh-CN" w:eastAsia="zh-CN" w:bidi="ar-SA"/>
        </w:rPr>
        <w:fldChar w:fldCharType="end"/>
      </w:r>
    </w:p>
    <w:p>
      <w:pPr>
        <w:pageBreakBefore w:val="0"/>
        <w:widowControl/>
        <w:kinsoku/>
        <w:wordWrap/>
        <w:overflowPunct/>
        <w:topLinePunct w:val="0"/>
        <w:autoSpaceDE/>
        <w:autoSpaceDN/>
        <w:bidi w:val="0"/>
        <w:adjustRightInd/>
        <w:snapToGrid/>
        <w:spacing w:after="0" w:line="560" w:lineRule="exact"/>
        <w:jc w:val="both"/>
        <w:textAlignment w:val="auto"/>
        <w:rPr>
          <w:rFonts w:hint="eastAsia" w:ascii="方正小标宋简体" w:hAnsi="方正小标宋简体" w:eastAsia="方正小标宋简体" w:cs="方正小标宋简体"/>
          <w:color w:val="333333"/>
          <w:kern w:val="0"/>
          <w:sz w:val="44"/>
          <w:szCs w:val="44"/>
        </w:rPr>
      </w:pPr>
      <w:r>
        <w:rPr>
          <w:rFonts w:hint="eastAsia" w:ascii="仿宋" w:hAnsi="仿宋" w:eastAsia="仿宋" w:cs="仿宋"/>
          <w:color w:val="auto"/>
          <w:szCs w:val="32"/>
          <w:lang w:val="zh-CN"/>
        </w:rPr>
        <w:fldChar w:fldCharType="end"/>
      </w:r>
    </w:p>
    <w:p>
      <w:pPr>
        <w:pStyle w:val="2"/>
        <w:rPr>
          <w:rFonts w:hint="eastAsia" w:ascii="方正小标宋简体" w:hAnsi="方正小标宋简体" w:eastAsia="方正小标宋简体" w:cs="方正小标宋简体"/>
          <w:color w:val="333333"/>
          <w:kern w:val="0"/>
          <w:sz w:val="44"/>
          <w:szCs w:val="44"/>
        </w:rPr>
      </w:pPr>
    </w:p>
    <w:p>
      <w:pPr>
        <w:pStyle w:val="2"/>
        <w:rPr>
          <w:rFonts w:hint="eastAsia" w:ascii="方正小标宋简体" w:hAnsi="方正小标宋简体" w:eastAsia="方正小标宋简体" w:cs="方正小标宋简体"/>
          <w:color w:val="333333"/>
          <w:kern w:val="0"/>
          <w:sz w:val="44"/>
          <w:szCs w:val="44"/>
        </w:rPr>
        <w:sectPr>
          <w:pgSz w:w="11906" w:h="16838"/>
          <w:pgMar w:top="1417" w:right="1417" w:bottom="1417" w:left="1417" w:header="851" w:footer="992" w:gutter="0"/>
          <w:cols w:space="425" w:num="1"/>
          <w:docGrid w:type="lines" w:linePitch="312" w:charSpace="0"/>
        </w:sectPr>
      </w:pPr>
    </w:p>
    <w:p>
      <w:pPr>
        <w:pageBreakBefore w:val="0"/>
        <w:widowControl/>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color w:val="333333"/>
          <w:kern w:val="0"/>
          <w:sz w:val="44"/>
          <w:szCs w:val="44"/>
        </w:rPr>
        <w:t>黔东南州突发环境事件应急预案</w:t>
      </w:r>
    </w:p>
    <w:p>
      <w:pPr>
        <w:pageBreakBefore w:val="0"/>
        <w:widowControl/>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color w:val="333333"/>
          <w:kern w:val="0"/>
          <w:sz w:val="44"/>
          <w:szCs w:val="44"/>
        </w:rPr>
        <w:t>（</w:t>
      </w:r>
      <w:r>
        <w:rPr>
          <w:rFonts w:hint="eastAsia" w:ascii="方正小标宋简体" w:hAnsi="方正小标宋简体" w:eastAsia="方正小标宋简体" w:cs="方正小标宋简体"/>
          <w:color w:val="333333"/>
          <w:kern w:val="0"/>
          <w:sz w:val="44"/>
          <w:szCs w:val="44"/>
          <w:lang w:val="en-US" w:eastAsia="zh-CN"/>
        </w:rPr>
        <w:t>修订</w:t>
      </w:r>
      <w:r>
        <w:rPr>
          <w:rFonts w:hint="eastAsia" w:ascii="方正小标宋简体" w:hAnsi="方正小标宋简体" w:eastAsia="方正小标宋简体" w:cs="方正小标宋简体"/>
          <w:color w:val="333333"/>
          <w:kern w:val="0"/>
          <w:sz w:val="44"/>
          <w:szCs w:val="44"/>
        </w:rPr>
        <w:t>）</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Cs/>
          <w:color w:val="auto"/>
          <w:sz w:val="32"/>
          <w:szCs w:val="32"/>
          <w:highlight w:val="none"/>
        </w:rPr>
      </w:pPr>
      <w:bookmarkStart w:id="7" w:name="_Toc3088"/>
      <w:r>
        <w:rPr>
          <w:rFonts w:hint="eastAsia" w:ascii="黑体" w:hAnsi="黑体" w:eastAsia="黑体" w:cs="黑体"/>
          <w:bCs/>
          <w:color w:val="auto"/>
          <w:sz w:val="32"/>
          <w:szCs w:val="32"/>
          <w:highlight w:val="none"/>
        </w:rPr>
        <w:t>一、总则</w:t>
      </w:r>
      <w:bookmarkEnd w:id="0"/>
      <w:bookmarkEnd w:id="1"/>
      <w:bookmarkEnd w:id="2"/>
      <w:bookmarkEnd w:id="7"/>
      <w:bookmarkStart w:id="8" w:name="_Toc350156758"/>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color w:val="auto"/>
          <w:sz w:val="32"/>
          <w:szCs w:val="32"/>
          <w:highlight w:val="none"/>
        </w:rPr>
      </w:pPr>
      <w:bookmarkStart w:id="9" w:name="_Toc30883"/>
      <w:r>
        <w:rPr>
          <w:rFonts w:hint="eastAsia" w:ascii="楷体_GB2312" w:hAnsi="楷体_GB2312" w:eastAsia="楷体_GB2312" w:cs="楷体_GB2312"/>
          <w:b/>
          <w:bCs/>
          <w:color w:val="auto"/>
          <w:sz w:val="32"/>
          <w:szCs w:val="32"/>
          <w:highlight w:val="none"/>
          <w:lang w:val="en-US" w:eastAsia="zh-CN"/>
        </w:rPr>
        <w:t xml:space="preserve">1.1 </w:t>
      </w:r>
      <w:r>
        <w:rPr>
          <w:rFonts w:hint="eastAsia" w:ascii="楷体_GB2312" w:hAnsi="楷体_GB2312" w:eastAsia="楷体_GB2312" w:cs="楷体_GB2312"/>
          <w:b/>
          <w:bCs/>
          <w:color w:val="auto"/>
          <w:sz w:val="32"/>
          <w:szCs w:val="32"/>
          <w:highlight w:val="none"/>
        </w:rPr>
        <w:t>编制目的</w:t>
      </w:r>
      <w:bookmarkEnd w:id="8"/>
      <w:bookmarkEnd w:id="9"/>
    </w:p>
    <w:p>
      <w:pPr>
        <w:keepNext w:val="0"/>
        <w:keepLines w:val="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rPr>
        <w:t>习近平总书记在主持中央政治局就我国应急管理体系和能力建设第十九次集体学习时强调：应急管理是国家治理体系和治理能力的重要组成部分，承担防范化解重大安全风险、及时应对处置各类灾害事故的重要职责，担负保护人民群众生命财产安全和维护社会稳定的重要使命。要发挥我国应急管理体系的特色和优势</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借鉴国外应急管理有益做法，积极推进我国应急管理体系和能力现代化</w:t>
      </w:r>
      <w:r>
        <w:rPr>
          <w:rFonts w:hint="eastAsia" w:ascii="仿宋_GB2312" w:hAnsi="宋体" w:eastAsia="仿宋_GB2312"/>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黔东南州</w:t>
      </w:r>
      <w:r>
        <w:rPr>
          <w:rFonts w:hint="eastAsia" w:ascii="仿宋_GB2312" w:hAnsi="宋体" w:eastAsia="仿宋_GB2312"/>
          <w:color w:val="auto"/>
          <w:sz w:val="32"/>
          <w:szCs w:val="32"/>
          <w:highlight w:val="none"/>
        </w:rPr>
        <w:t>突发环境事件应急预案》（</w:t>
      </w:r>
      <w:r>
        <w:rPr>
          <w:rFonts w:hint="eastAsia" w:ascii="仿宋_GB2312" w:hAnsi="宋体" w:eastAsia="仿宋_GB2312"/>
          <w:color w:val="auto"/>
          <w:sz w:val="32"/>
          <w:szCs w:val="32"/>
          <w:highlight w:val="none"/>
          <w:lang w:val="en-US" w:eastAsia="zh-CN"/>
        </w:rPr>
        <w:t>黔东南</w:t>
      </w:r>
      <w:r>
        <w:rPr>
          <w:rFonts w:hint="eastAsia" w:ascii="仿宋_GB2312" w:hAnsi="宋体" w:eastAsia="仿宋_GB2312"/>
          <w:color w:val="auto"/>
          <w:sz w:val="32"/>
          <w:szCs w:val="32"/>
          <w:highlight w:val="none"/>
        </w:rPr>
        <w:t>府办</w:t>
      </w:r>
      <w:r>
        <w:rPr>
          <w:rFonts w:hint="eastAsia" w:ascii="仿宋_GB2312" w:hAnsi="宋体" w:eastAsia="仿宋_GB2312"/>
          <w:color w:val="auto"/>
          <w:sz w:val="32"/>
          <w:szCs w:val="32"/>
          <w:highlight w:val="none"/>
          <w:lang w:val="en-US" w:eastAsia="zh-CN"/>
        </w:rPr>
        <w:t>函</w:t>
      </w:r>
      <w:r>
        <w:rPr>
          <w:rFonts w:hint="eastAsia" w:ascii="仿宋_GB2312" w:hAnsi="宋体" w:eastAsia="仿宋_GB2312"/>
          <w:color w:val="auto"/>
          <w:sz w:val="32"/>
          <w:szCs w:val="32"/>
          <w:highlight w:val="none"/>
        </w:rPr>
        <w:t>〔20</w:t>
      </w:r>
      <w:r>
        <w:rPr>
          <w:rFonts w:hint="eastAsia" w:ascii="仿宋_GB2312" w:hAnsi="宋体" w:eastAsia="仿宋_GB2312"/>
          <w:color w:val="auto"/>
          <w:sz w:val="32"/>
          <w:szCs w:val="32"/>
          <w:highlight w:val="none"/>
          <w:lang w:val="en-US" w:eastAsia="zh-CN"/>
        </w:rPr>
        <w:t>20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62</w:t>
      </w:r>
      <w:r>
        <w:rPr>
          <w:rFonts w:hint="eastAsia" w:ascii="仿宋_GB2312" w:hAnsi="宋体" w:eastAsia="仿宋_GB2312"/>
          <w:color w:val="auto"/>
          <w:sz w:val="32"/>
          <w:szCs w:val="32"/>
          <w:highlight w:val="none"/>
        </w:rPr>
        <w:t>号）于20</w:t>
      </w:r>
      <w:r>
        <w:rPr>
          <w:rFonts w:hint="eastAsia" w:ascii="仿宋_GB2312" w:hAnsi="宋体" w:eastAsia="仿宋_GB2312"/>
          <w:color w:val="auto"/>
          <w:sz w:val="32"/>
          <w:szCs w:val="32"/>
          <w:highlight w:val="none"/>
          <w:lang w:val="en-US" w:eastAsia="zh-CN"/>
        </w:rPr>
        <w:t>20</w:t>
      </w:r>
      <w:r>
        <w:rPr>
          <w:rFonts w:hint="eastAsia" w:ascii="仿宋_GB2312" w:hAnsi="宋体" w:eastAsia="仿宋_GB2312"/>
          <w:color w:val="auto"/>
          <w:sz w:val="32"/>
          <w:szCs w:val="32"/>
          <w:highlight w:val="none"/>
        </w:rPr>
        <w:t>年</w:t>
      </w:r>
      <w:r>
        <w:rPr>
          <w:rFonts w:hint="eastAsia" w:ascii="仿宋_GB2312" w:hAnsi="宋体" w:eastAsia="仿宋_GB2312"/>
          <w:color w:val="auto"/>
          <w:sz w:val="32"/>
          <w:szCs w:val="32"/>
          <w:highlight w:val="none"/>
          <w:lang w:val="en-US" w:eastAsia="zh-CN"/>
        </w:rPr>
        <w:t>7</w:t>
      </w:r>
      <w:r>
        <w:rPr>
          <w:rFonts w:hint="eastAsia" w:ascii="仿宋_GB2312" w:hAnsi="宋体" w:eastAsia="仿宋_GB2312"/>
          <w:color w:val="auto"/>
          <w:sz w:val="32"/>
          <w:szCs w:val="32"/>
          <w:highlight w:val="none"/>
        </w:rPr>
        <w:t>月1</w:t>
      </w:r>
      <w:r>
        <w:rPr>
          <w:rFonts w:hint="eastAsia" w:ascii="仿宋_GB2312" w:hAnsi="宋体" w:eastAsia="仿宋_GB2312"/>
          <w:color w:val="auto"/>
          <w:sz w:val="32"/>
          <w:szCs w:val="32"/>
          <w:highlight w:val="none"/>
          <w:lang w:val="en-US" w:eastAsia="zh-CN"/>
        </w:rPr>
        <w:t>7</w:t>
      </w:r>
      <w:r>
        <w:rPr>
          <w:rFonts w:hint="eastAsia" w:ascii="仿宋_GB2312" w:hAnsi="宋体" w:eastAsia="仿宋_GB2312"/>
          <w:color w:val="auto"/>
          <w:sz w:val="32"/>
          <w:szCs w:val="32"/>
          <w:highlight w:val="none"/>
        </w:rPr>
        <w:t>日经</w:t>
      </w:r>
      <w:r>
        <w:rPr>
          <w:rFonts w:hint="eastAsia" w:ascii="仿宋_GB2312" w:hAnsi="宋体" w:eastAsia="仿宋_GB2312"/>
          <w:color w:val="auto"/>
          <w:sz w:val="32"/>
          <w:szCs w:val="32"/>
          <w:highlight w:val="none"/>
          <w:lang w:val="en-US" w:eastAsia="zh-CN"/>
        </w:rPr>
        <w:t>黔东南州</w:t>
      </w:r>
      <w:r>
        <w:rPr>
          <w:rFonts w:hint="eastAsia" w:ascii="仿宋_GB2312" w:hAnsi="宋体" w:eastAsia="仿宋_GB2312"/>
          <w:color w:val="auto"/>
          <w:sz w:val="32"/>
          <w:szCs w:val="32"/>
          <w:highlight w:val="none"/>
        </w:rPr>
        <w:t>人民政府办公</w:t>
      </w:r>
      <w:r>
        <w:rPr>
          <w:rFonts w:hint="eastAsia" w:ascii="仿宋_GB2312" w:hAnsi="宋体" w:eastAsia="仿宋_GB2312"/>
          <w:color w:val="auto"/>
          <w:sz w:val="32"/>
          <w:szCs w:val="32"/>
          <w:highlight w:val="none"/>
          <w:lang w:val="en-US" w:eastAsia="zh-CN"/>
        </w:rPr>
        <w:t>室</w:t>
      </w:r>
      <w:r>
        <w:rPr>
          <w:rFonts w:hint="eastAsia" w:ascii="仿宋_GB2312" w:hAnsi="宋体" w:eastAsia="仿宋_GB2312"/>
          <w:color w:val="auto"/>
          <w:sz w:val="32"/>
          <w:szCs w:val="32"/>
          <w:highlight w:val="none"/>
        </w:rPr>
        <w:t>批准印发后，</w:t>
      </w:r>
      <w:r>
        <w:rPr>
          <w:rFonts w:hint="eastAsia" w:ascii="仿宋_GB2312" w:hAnsi="宋体" w:eastAsia="仿宋_GB2312"/>
          <w:color w:val="auto"/>
          <w:sz w:val="32"/>
          <w:szCs w:val="32"/>
          <w:highlight w:val="none"/>
          <w:lang w:val="en-US" w:eastAsia="zh-CN"/>
        </w:rPr>
        <w:t>两</w:t>
      </w:r>
      <w:r>
        <w:rPr>
          <w:rFonts w:hint="eastAsia" w:ascii="仿宋_GB2312" w:hAnsi="宋体" w:eastAsia="仿宋_GB2312"/>
          <w:color w:val="auto"/>
          <w:sz w:val="32"/>
          <w:szCs w:val="32"/>
          <w:highlight w:val="none"/>
        </w:rPr>
        <w:t>年来对指导</w:t>
      </w:r>
      <w:r>
        <w:rPr>
          <w:rFonts w:hint="eastAsia" w:ascii="仿宋_GB2312" w:hAnsi="宋体" w:eastAsia="仿宋_GB2312"/>
          <w:color w:val="auto"/>
          <w:sz w:val="32"/>
          <w:szCs w:val="32"/>
          <w:highlight w:val="none"/>
          <w:lang w:val="en-US" w:eastAsia="zh-CN"/>
        </w:rPr>
        <w:t>黔东南州</w:t>
      </w:r>
      <w:r>
        <w:rPr>
          <w:rFonts w:hint="eastAsia" w:ascii="仿宋_GB2312" w:hAnsi="宋体" w:eastAsia="仿宋_GB2312"/>
          <w:color w:val="auto"/>
          <w:sz w:val="32"/>
          <w:szCs w:val="32"/>
          <w:highlight w:val="none"/>
        </w:rPr>
        <w:t>环境应急管理工作发挥了重要作用。随着新时期生态环境应急管理要求</w:t>
      </w:r>
      <w:r>
        <w:rPr>
          <w:rFonts w:hint="eastAsia" w:ascii="仿宋_GB2312" w:hAnsi="宋体" w:eastAsia="仿宋_GB2312"/>
          <w:color w:val="auto"/>
          <w:sz w:val="32"/>
          <w:szCs w:val="32"/>
          <w:highlight w:val="none"/>
          <w:lang w:val="en-US" w:eastAsia="zh-CN"/>
        </w:rPr>
        <w:t>地</w:t>
      </w:r>
      <w:r>
        <w:rPr>
          <w:rFonts w:hint="eastAsia" w:ascii="仿宋_GB2312" w:hAnsi="宋体" w:eastAsia="仿宋_GB2312"/>
          <w:color w:val="auto"/>
          <w:sz w:val="32"/>
          <w:szCs w:val="32"/>
          <w:highlight w:val="none"/>
        </w:rPr>
        <w:t>不断提高，为贯彻中央及省</w:t>
      </w:r>
      <w:r>
        <w:rPr>
          <w:rFonts w:hint="eastAsia" w:ascii="仿宋_GB2312" w:hAnsi="宋体" w:eastAsia="仿宋_GB2312"/>
          <w:color w:val="auto"/>
          <w:sz w:val="32"/>
          <w:szCs w:val="32"/>
          <w:highlight w:val="none"/>
          <w:lang w:val="en-US" w:eastAsia="zh-CN"/>
        </w:rPr>
        <w:t>委</w:t>
      </w:r>
      <w:r>
        <w:rPr>
          <w:rFonts w:hint="eastAsia" w:ascii="仿宋_GB2312" w:hAnsi="宋体" w:eastAsia="仿宋_GB2312"/>
          <w:color w:val="auto"/>
          <w:sz w:val="32"/>
          <w:szCs w:val="32"/>
          <w:highlight w:val="none"/>
        </w:rPr>
        <w:t>有关应急工作的精神，建立健全职责明确、规范有序、</w:t>
      </w:r>
      <w:r>
        <w:rPr>
          <w:rFonts w:hint="eastAsia" w:ascii="仿宋_GB2312" w:hAnsi="宋体" w:eastAsia="仿宋_GB2312"/>
          <w:color w:val="auto"/>
          <w:sz w:val="32"/>
          <w:szCs w:val="32"/>
          <w:highlight w:val="none"/>
          <w:lang w:val="en-US" w:eastAsia="zh-CN"/>
        </w:rPr>
        <w:t>科学</w:t>
      </w:r>
      <w:r>
        <w:rPr>
          <w:rFonts w:hint="eastAsia" w:ascii="仿宋_GB2312" w:hAnsi="宋体" w:eastAsia="仿宋_GB2312"/>
          <w:color w:val="auto"/>
          <w:sz w:val="32"/>
          <w:szCs w:val="32"/>
          <w:highlight w:val="none"/>
        </w:rPr>
        <w:t>高效的突发环境事件应急指挥体系和应对工作机制，提高突发环境事件的预防、预警</w:t>
      </w:r>
      <w:r>
        <w:rPr>
          <w:rFonts w:hint="eastAsia" w:ascii="仿宋_GB2312" w:hAnsi="宋体" w:eastAsia="仿宋_GB2312"/>
          <w:color w:val="auto"/>
          <w:sz w:val="32"/>
          <w:szCs w:val="32"/>
          <w:highlight w:val="none"/>
          <w:lang w:val="en-US" w:eastAsia="zh-CN"/>
        </w:rPr>
        <w:t>以及</w:t>
      </w:r>
      <w:r>
        <w:rPr>
          <w:rFonts w:hint="eastAsia" w:ascii="仿宋_GB2312" w:hAnsi="宋体" w:eastAsia="仿宋_GB2312"/>
          <w:color w:val="auto"/>
          <w:sz w:val="32"/>
          <w:szCs w:val="32"/>
          <w:highlight w:val="none"/>
        </w:rPr>
        <w:t>应急处置能力，控制、减轻和消除突发环境事件的风险及危害，保障人民群众生命财产安全和环境安全，促进</w:t>
      </w:r>
      <w:r>
        <w:rPr>
          <w:rFonts w:hint="eastAsia" w:ascii="仿宋_GB2312" w:hAnsi="宋体" w:eastAsia="仿宋_GB2312"/>
          <w:color w:val="auto"/>
          <w:sz w:val="32"/>
          <w:szCs w:val="32"/>
          <w:highlight w:val="none"/>
          <w:lang w:val="en-US" w:eastAsia="zh-CN"/>
        </w:rPr>
        <w:t>我州</w:t>
      </w:r>
      <w:r>
        <w:rPr>
          <w:rFonts w:hint="eastAsia" w:ascii="仿宋_GB2312" w:hAnsi="宋体" w:eastAsia="仿宋_GB2312"/>
          <w:color w:val="auto"/>
          <w:sz w:val="32"/>
          <w:szCs w:val="32"/>
          <w:highlight w:val="none"/>
        </w:rPr>
        <w:t>社会全面、协调、可持续发展，特修订此预案。</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color w:val="auto"/>
          <w:sz w:val="32"/>
          <w:szCs w:val="32"/>
          <w:highlight w:val="none"/>
        </w:rPr>
      </w:pPr>
      <w:bookmarkStart w:id="10" w:name="_Toc350156760"/>
      <w:bookmarkStart w:id="11" w:name="_Toc3771"/>
      <w:r>
        <w:rPr>
          <w:rFonts w:hint="eastAsia" w:ascii="楷体_GB2312" w:hAnsi="楷体_GB2312" w:eastAsia="楷体_GB2312" w:cs="楷体_GB2312"/>
          <w:b/>
          <w:bCs/>
          <w:color w:val="auto"/>
          <w:sz w:val="32"/>
          <w:szCs w:val="32"/>
          <w:highlight w:val="none"/>
          <w:lang w:val="en-US" w:eastAsia="zh-CN"/>
        </w:rPr>
        <w:t xml:space="preserve">1.2 </w:t>
      </w:r>
      <w:r>
        <w:rPr>
          <w:rFonts w:hint="eastAsia" w:ascii="楷体_GB2312" w:hAnsi="楷体_GB2312" w:eastAsia="楷体_GB2312" w:cs="楷体_GB2312"/>
          <w:b/>
          <w:bCs/>
          <w:color w:val="auto"/>
          <w:sz w:val="32"/>
          <w:szCs w:val="32"/>
          <w:highlight w:val="none"/>
        </w:rPr>
        <w:t>编制依据</w:t>
      </w:r>
      <w:bookmarkEnd w:id="10"/>
      <w:bookmarkEnd w:id="11"/>
    </w:p>
    <w:p>
      <w:pPr>
        <w:keepNext w:val="0"/>
        <w:keepLines w:val="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《中华人民共和国环境保护法》、《中华人民共和国突发事件应对法》、《中华人民共和国</w:t>
      </w:r>
      <w:r>
        <w:rPr>
          <w:rFonts w:hint="eastAsia" w:ascii="仿宋_GB2312" w:hAnsi="宋体" w:eastAsia="仿宋_GB2312"/>
          <w:color w:val="auto"/>
          <w:sz w:val="32"/>
          <w:szCs w:val="32"/>
          <w:highlight w:val="none"/>
          <w:lang w:val="en-US" w:eastAsia="zh-CN"/>
        </w:rPr>
        <w:t>大气</w:t>
      </w:r>
      <w:r>
        <w:rPr>
          <w:rFonts w:hint="eastAsia" w:ascii="仿宋_GB2312" w:hAnsi="宋体" w:eastAsia="仿宋_GB2312"/>
          <w:color w:val="auto"/>
          <w:sz w:val="32"/>
          <w:szCs w:val="32"/>
          <w:highlight w:val="none"/>
        </w:rPr>
        <w:t>污染防治法》、《中华人民共和国</w:t>
      </w:r>
      <w:r>
        <w:rPr>
          <w:rFonts w:hint="eastAsia" w:ascii="仿宋_GB2312" w:hAnsi="宋体" w:eastAsia="仿宋_GB2312"/>
          <w:color w:val="auto"/>
          <w:sz w:val="32"/>
          <w:szCs w:val="32"/>
          <w:highlight w:val="none"/>
          <w:lang w:val="en-US" w:eastAsia="zh-CN"/>
        </w:rPr>
        <w:t>水</w:t>
      </w:r>
      <w:r>
        <w:rPr>
          <w:rFonts w:hint="eastAsia" w:ascii="仿宋_GB2312" w:hAnsi="宋体" w:eastAsia="仿宋_GB2312"/>
          <w:color w:val="auto"/>
          <w:sz w:val="32"/>
          <w:szCs w:val="32"/>
          <w:highlight w:val="none"/>
        </w:rPr>
        <w:t>污染防治法》</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《中华人民共和国</w:t>
      </w:r>
      <w:r>
        <w:rPr>
          <w:rFonts w:hint="eastAsia" w:ascii="仿宋_GB2312" w:hAnsi="宋体" w:eastAsia="仿宋_GB2312"/>
          <w:color w:val="auto"/>
          <w:sz w:val="32"/>
          <w:szCs w:val="32"/>
          <w:highlight w:val="none"/>
          <w:lang w:val="en-US" w:eastAsia="zh-CN"/>
        </w:rPr>
        <w:t>土壤</w:t>
      </w:r>
      <w:r>
        <w:rPr>
          <w:rFonts w:hint="eastAsia" w:ascii="仿宋_GB2312" w:hAnsi="宋体" w:eastAsia="仿宋_GB2312"/>
          <w:color w:val="auto"/>
          <w:sz w:val="32"/>
          <w:szCs w:val="32"/>
          <w:highlight w:val="none"/>
        </w:rPr>
        <w:t>污染防治法》</w:t>
      </w:r>
      <w:r>
        <w:rPr>
          <w:rFonts w:hint="eastAsia" w:ascii="仿宋_GB2312" w:hAnsi="宋体" w:eastAsia="仿宋_GB2312"/>
          <w:color w:val="auto"/>
          <w:sz w:val="32"/>
          <w:szCs w:val="32"/>
          <w:highlight w:val="none"/>
          <w:lang w:eastAsia="zh-CN"/>
        </w:rPr>
        <w:t>、《中华人民共和国水污染防治法》、</w:t>
      </w:r>
      <w:r>
        <w:rPr>
          <w:rFonts w:hint="eastAsia" w:ascii="仿宋_GB2312" w:hAnsi="宋体" w:eastAsia="仿宋_GB2312"/>
          <w:color w:val="auto"/>
          <w:sz w:val="32"/>
          <w:szCs w:val="32"/>
          <w:highlight w:val="none"/>
        </w:rPr>
        <w:t>《突发环境事件应急管理办法》、《国家突发公共事件总体应急预案》、《国家突发环境事件应急预案》、《贵州省突发事件总体应急预案》</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《贵州省突发环境事件应急预案》</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贵州省突发事件信息报告管理办法</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《黔东南州突发事件总体应急预案》等法律法规和规范性文件。</w:t>
      </w:r>
      <w:bookmarkStart w:id="12" w:name="_Toc350156761"/>
    </w:p>
    <w:p>
      <w:pPr>
        <w:keepNext w:val="0"/>
        <w:keepLines w:val="0"/>
        <w:pageBreakBefore w:val="0"/>
        <w:widowControl/>
        <w:kinsoku/>
        <w:wordWrap/>
        <w:overflowPunct/>
        <w:topLinePunct w:val="0"/>
        <w:autoSpaceDE/>
        <w:autoSpaceDN/>
        <w:bidi w:val="0"/>
        <w:adjustRightInd/>
        <w:snapToGrid/>
        <w:spacing w:line="560" w:lineRule="exact"/>
        <w:ind w:firstLine="567"/>
        <w:textAlignment w:val="auto"/>
        <w:outlineLvl w:val="1"/>
        <w:rPr>
          <w:rFonts w:hint="eastAsia" w:ascii="楷体_GB2312" w:hAnsi="楷体_GB2312" w:eastAsia="楷体_GB2312" w:cs="楷体_GB2312"/>
          <w:b/>
          <w:color w:val="auto"/>
          <w:sz w:val="32"/>
          <w:szCs w:val="32"/>
          <w:highlight w:val="none"/>
        </w:rPr>
      </w:pPr>
      <w:bookmarkStart w:id="13" w:name="_Toc8940"/>
      <w:r>
        <w:rPr>
          <w:rFonts w:hint="eastAsia" w:ascii="楷体_GB2312" w:hAnsi="楷体_GB2312" w:eastAsia="楷体_GB2312" w:cs="楷体_GB2312"/>
          <w:b/>
          <w:color w:val="auto"/>
          <w:sz w:val="32"/>
          <w:szCs w:val="32"/>
          <w:highlight w:val="none"/>
          <w:lang w:val="en-US" w:eastAsia="zh-CN"/>
        </w:rPr>
        <w:t xml:space="preserve">1.3 </w:t>
      </w:r>
      <w:r>
        <w:rPr>
          <w:rFonts w:hint="eastAsia" w:ascii="楷体_GB2312" w:hAnsi="楷体_GB2312" w:eastAsia="楷体_GB2312" w:cs="楷体_GB2312"/>
          <w:b/>
          <w:color w:val="auto"/>
          <w:sz w:val="32"/>
          <w:szCs w:val="32"/>
          <w:highlight w:val="none"/>
        </w:rPr>
        <w:t>适用范围</w:t>
      </w:r>
      <w:bookmarkEnd w:id="12"/>
      <w:bookmarkEnd w:id="13"/>
    </w:p>
    <w:p>
      <w:pPr>
        <w:keepNext w:val="0"/>
        <w:keepLines w:val="0"/>
        <w:pageBreakBefore w:val="0"/>
        <w:widowControl/>
        <w:kinsoku/>
        <w:wordWrap/>
        <w:overflowPunct/>
        <w:topLinePunct w:val="0"/>
        <w:autoSpaceDE/>
        <w:autoSpaceDN/>
        <w:bidi w:val="0"/>
        <w:adjustRightInd/>
        <w:snapToGrid/>
        <w:spacing w:line="560" w:lineRule="exact"/>
        <w:ind w:firstLine="567"/>
        <w:textAlignment w:val="auto"/>
        <w:outlineLvl w:val="2"/>
        <w:rPr>
          <w:rFonts w:hint="default" w:ascii="仿宋_GB2312" w:hAnsi="宋体" w:eastAsia="仿宋_GB2312"/>
          <w:b/>
          <w:bCs/>
          <w:color w:val="auto"/>
          <w:sz w:val="32"/>
          <w:szCs w:val="32"/>
          <w:highlight w:val="none"/>
          <w:lang w:val="en-US" w:eastAsia="zh-CN"/>
        </w:rPr>
      </w:pPr>
      <w:bookmarkStart w:id="14" w:name="_Toc25883"/>
      <w:r>
        <w:rPr>
          <w:rFonts w:hint="eastAsia" w:ascii="仿宋_GB2312" w:hAnsi="宋体" w:eastAsia="仿宋_GB2312"/>
          <w:b/>
          <w:bCs/>
          <w:color w:val="auto"/>
          <w:sz w:val="32"/>
          <w:szCs w:val="32"/>
          <w:highlight w:val="none"/>
          <w:lang w:val="en-US" w:eastAsia="zh-CN"/>
        </w:rPr>
        <w:t>1.3.1 适用原则</w:t>
      </w:r>
      <w:bookmarkEnd w:id="14"/>
    </w:p>
    <w:p>
      <w:pPr>
        <w:keepNext w:val="0"/>
        <w:keepLines w:val="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本预案适用于发生在本州境内的突发环境事件以及</w:t>
      </w:r>
      <w:r>
        <w:rPr>
          <w:rFonts w:hint="eastAsia" w:ascii="仿宋_GB2312" w:hAnsi="宋体" w:eastAsia="仿宋_GB2312"/>
          <w:color w:val="auto"/>
          <w:sz w:val="32"/>
          <w:szCs w:val="32"/>
          <w:highlight w:val="none"/>
          <w:lang w:val="en-US" w:eastAsia="zh-CN"/>
        </w:rPr>
        <w:t>相邻市（州）</w:t>
      </w:r>
      <w:r>
        <w:rPr>
          <w:rFonts w:hint="eastAsia" w:ascii="仿宋_GB2312" w:hAnsi="宋体" w:eastAsia="仿宋_GB2312"/>
          <w:color w:val="auto"/>
          <w:sz w:val="32"/>
          <w:szCs w:val="32"/>
          <w:highlight w:val="none"/>
        </w:rPr>
        <w:t>发生的可能波及到我州的突发环境事件的预防、预警、处置工作。</w:t>
      </w:r>
    </w:p>
    <w:p>
      <w:pPr>
        <w:keepNext w:val="0"/>
        <w:keepLines w:val="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本预案不适用于核设施及有关核活动发生的核事故所造成的辐射污染事件、船舶污染事件。辐射污染事件、船舶污染事件相关应对工作按照</w:t>
      </w:r>
      <w:r>
        <w:rPr>
          <w:rFonts w:hint="eastAsia" w:ascii="仿宋_GB2312" w:hAnsi="宋体" w:eastAsia="仿宋_GB2312"/>
          <w:color w:val="auto"/>
          <w:sz w:val="32"/>
          <w:szCs w:val="32"/>
          <w:highlight w:val="none"/>
          <w:lang w:val="en-US" w:eastAsia="zh-CN"/>
        </w:rPr>
        <w:t>事件</w:t>
      </w:r>
      <w:r>
        <w:rPr>
          <w:rFonts w:hint="eastAsia" w:ascii="仿宋_GB2312" w:hAnsi="宋体" w:eastAsia="仿宋_GB2312"/>
          <w:color w:val="auto"/>
          <w:sz w:val="32"/>
          <w:szCs w:val="32"/>
          <w:highlight w:val="none"/>
        </w:rPr>
        <w:t>相关应急预案规定执行。</w:t>
      </w:r>
    </w:p>
    <w:p>
      <w:pPr>
        <w:keepNext w:val="0"/>
        <w:keepLines w:val="0"/>
        <w:pageBreakBefore w:val="0"/>
        <w:widowControl/>
        <w:kinsoku/>
        <w:wordWrap/>
        <w:overflowPunct/>
        <w:topLinePunct w:val="0"/>
        <w:autoSpaceDE/>
        <w:autoSpaceDN/>
        <w:bidi w:val="0"/>
        <w:adjustRightInd/>
        <w:snapToGrid/>
        <w:spacing w:line="560" w:lineRule="exact"/>
        <w:ind w:firstLine="567"/>
        <w:textAlignment w:val="auto"/>
        <w:outlineLvl w:val="2"/>
        <w:rPr>
          <w:rFonts w:hint="default" w:ascii="仿宋_GB2312" w:hAnsi="宋体" w:eastAsia="仿宋_GB2312" w:cs="Times New Roman"/>
          <w:b/>
          <w:bCs/>
          <w:color w:val="auto"/>
          <w:sz w:val="32"/>
          <w:szCs w:val="32"/>
          <w:highlight w:val="none"/>
          <w:lang w:val="en-US" w:eastAsia="zh-CN"/>
        </w:rPr>
      </w:pPr>
      <w:bookmarkStart w:id="15" w:name="_Toc23486"/>
      <w:r>
        <w:rPr>
          <w:rFonts w:hint="eastAsia" w:ascii="仿宋_GB2312" w:hAnsi="宋体" w:eastAsia="仿宋_GB2312" w:cs="Times New Roman"/>
          <w:b/>
          <w:bCs/>
          <w:color w:val="auto"/>
          <w:sz w:val="32"/>
          <w:szCs w:val="32"/>
          <w:highlight w:val="none"/>
          <w:lang w:val="en-US" w:eastAsia="zh-CN"/>
        </w:rPr>
        <w:t>1.3.2 适用范围</w:t>
      </w:r>
      <w:bookmarkEnd w:id="15"/>
    </w:p>
    <w:p>
      <w:pPr>
        <w:keepNext w:val="0"/>
        <w:keepLines w:val="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rPr>
        <w:t>突发环境事件是指由于污染物排放或自然灾害、生产安全事故等因素，导致</w:t>
      </w:r>
      <w:r>
        <w:rPr>
          <w:rFonts w:hint="eastAsia" w:ascii="仿宋_GB2312" w:hAnsi="宋体" w:eastAsia="仿宋_GB2312"/>
          <w:color w:val="auto"/>
          <w:sz w:val="32"/>
          <w:szCs w:val="32"/>
          <w:highlight w:val="none"/>
          <w:lang w:val="en-US" w:eastAsia="zh-CN"/>
        </w:rPr>
        <w:t>各类环境</w:t>
      </w:r>
      <w:r>
        <w:rPr>
          <w:rFonts w:hint="eastAsia" w:ascii="仿宋_GB2312" w:hAnsi="宋体" w:eastAsia="仿宋_GB2312"/>
          <w:color w:val="auto"/>
          <w:sz w:val="32"/>
          <w:szCs w:val="32"/>
          <w:highlight w:val="none"/>
        </w:rPr>
        <w:t>污染物或放射性物质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环境事件和辐射污染事件</w:t>
      </w:r>
      <w:r>
        <w:rPr>
          <w:rFonts w:hint="eastAsia" w:ascii="仿宋_GB2312" w:hAnsi="宋体" w:eastAsia="仿宋_GB2312"/>
          <w:color w:val="auto"/>
          <w:sz w:val="32"/>
          <w:szCs w:val="32"/>
          <w:highlight w:val="none"/>
          <w:lang w:val="en-US" w:eastAsia="zh-CN"/>
        </w:rPr>
        <w:t>。本预案所指环境事件主要包括：</w:t>
      </w:r>
    </w:p>
    <w:p>
      <w:pPr>
        <w:keepNext w:val="0"/>
        <w:keepLines w:val="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（1）城市污水和厂矿废水、固体废物、重金属和废气的非正常排放或处置不当而导致的环境事件。</w:t>
      </w:r>
    </w:p>
    <w:p>
      <w:pPr>
        <w:keepNext w:val="0"/>
        <w:keepLines w:val="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（2）自然灾害或恶劣天气等原因造成危及人类健康和生态环境的环境事件。</w:t>
      </w:r>
    </w:p>
    <w:p>
      <w:pPr>
        <w:keepNext w:val="0"/>
        <w:keepLines w:val="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3）企事业在生产中因使用、贮存、运输、经营、排放不当等导致危险化学品、废弃化学品泄漏所引发的环境事件。危险化学品包括爆炸品、压缩气体和液化气体、易燃气体和液体、易燃固体、自燃物品和遇湿易燃物品、氧化剂和有机过氧化物、有毒品和腐蚀品等。</w:t>
      </w:r>
    </w:p>
    <w:p>
      <w:pPr>
        <w:keepNext w:val="0"/>
        <w:keepLines w:val="0"/>
        <w:pageBreakBefore w:val="0"/>
        <w:widowControl/>
        <w:kinsoku/>
        <w:wordWrap/>
        <w:overflowPunct/>
        <w:topLinePunct w:val="0"/>
        <w:autoSpaceDE/>
        <w:autoSpaceDN/>
        <w:bidi w:val="0"/>
        <w:adjustRightInd/>
        <w:snapToGrid/>
        <w:spacing w:line="560" w:lineRule="exact"/>
        <w:ind w:firstLine="567"/>
        <w:textAlignment w:val="auto"/>
        <w:rPr>
          <w:rFonts w:hint="default"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（4）其它原因导致的突发环境事件。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color w:val="auto"/>
          <w:sz w:val="32"/>
          <w:szCs w:val="32"/>
          <w:highlight w:val="none"/>
        </w:rPr>
      </w:pPr>
      <w:bookmarkStart w:id="16" w:name="_Toc21489"/>
      <w:r>
        <w:rPr>
          <w:rFonts w:hint="eastAsia" w:ascii="楷体_GB2312" w:hAnsi="楷体_GB2312" w:eastAsia="楷体_GB2312" w:cs="楷体_GB2312"/>
          <w:b/>
          <w:bCs/>
          <w:color w:val="auto"/>
          <w:sz w:val="32"/>
          <w:szCs w:val="32"/>
          <w:highlight w:val="none"/>
          <w:lang w:val="en-US" w:eastAsia="zh-CN"/>
        </w:rPr>
        <w:t xml:space="preserve">1.4 </w:t>
      </w:r>
      <w:r>
        <w:rPr>
          <w:rFonts w:hint="eastAsia" w:ascii="楷体_GB2312" w:hAnsi="楷体_GB2312" w:eastAsia="楷体_GB2312" w:cs="楷体_GB2312"/>
          <w:b/>
          <w:bCs/>
          <w:color w:val="auto"/>
          <w:sz w:val="32"/>
          <w:szCs w:val="32"/>
          <w:highlight w:val="none"/>
        </w:rPr>
        <w:t>工作原则</w:t>
      </w:r>
      <w:bookmarkEnd w:id="16"/>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color w:val="auto"/>
          <w:sz w:val="32"/>
          <w:szCs w:val="32"/>
          <w:highlight w:val="none"/>
        </w:rPr>
      </w:pPr>
      <w:r>
        <w:rPr>
          <w:rFonts w:hint="eastAsia" w:ascii="仿宋_GB2312" w:hAnsi="宋体" w:eastAsia="仿宋_GB2312" w:cs="Times New Roman"/>
          <w:color w:val="auto"/>
          <w:sz w:val="32"/>
          <w:szCs w:val="32"/>
          <w:highlight w:val="none"/>
        </w:rPr>
        <w:t>突发环境事件应对工作坚持统一领导、分级负责，属地为主、协调联动，快速反应、高效应对，资源共享、保障有力</w:t>
      </w:r>
      <w:r>
        <w:rPr>
          <w:rFonts w:hint="eastAsia" w:ascii="仿宋_GB2312" w:hAnsi="宋体" w:eastAsia="仿宋_GB2312" w:cs="Times New Roman"/>
          <w:color w:val="auto"/>
          <w:sz w:val="32"/>
          <w:szCs w:val="32"/>
          <w:highlight w:val="none"/>
          <w:lang w:eastAsia="zh-CN"/>
        </w:rPr>
        <w:t>，</w:t>
      </w:r>
      <w:r>
        <w:rPr>
          <w:rFonts w:hint="eastAsia" w:ascii="仿宋_GB2312" w:hAnsi="宋体" w:eastAsia="仿宋_GB2312" w:cs="Times New Roman"/>
          <w:color w:val="auto"/>
          <w:sz w:val="32"/>
          <w:szCs w:val="32"/>
          <w:highlight w:val="none"/>
        </w:rPr>
        <w:t>依法管理、科</w:t>
      </w:r>
      <w:r>
        <w:rPr>
          <w:rFonts w:hint="eastAsia" w:ascii="仿宋_GB2312" w:hAnsi="宋体" w:eastAsia="仿宋_GB2312" w:cs="Times New Roman"/>
          <w:color w:val="auto"/>
          <w:sz w:val="32"/>
          <w:szCs w:val="32"/>
          <w:highlight w:val="none"/>
          <w:lang w:val="en-US" w:eastAsia="zh-CN"/>
        </w:rPr>
        <w:t>学治理的</w:t>
      </w:r>
      <w:r>
        <w:rPr>
          <w:rFonts w:hint="eastAsia" w:ascii="仿宋_GB2312" w:hAnsi="宋体" w:eastAsia="仿宋_GB2312" w:cs="Times New Roman"/>
          <w:color w:val="auto"/>
          <w:sz w:val="32"/>
          <w:szCs w:val="32"/>
          <w:highlight w:val="none"/>
        </w:rPr>
        <w:t>原则。突发环境事件发生后，地方人民政府和有关部门立即自动按照职责分工和相关预案开展应急处置工作。</w:t>
      </w:r>
    </w:p>
    <w:p>
      <w:pPr>
        <w:keepNext w:val="0"/>
        <w:keepLines w:val="0"/>
        <w:pageBreakBefore w:val="0"/>
        <w:widowControl/>
        <w:kinsoku/>
        <w:wordWrap/>
        <w:overflowPunct/>
        <w:topLinePunct w:val="0"/>
        <w:autoSpaceDE/>
        <w:autoSpaceDN/>
        <w:bidi w:val="0"/>
        <w:adjustRightInd/>
        <w:snapToGrid/>
        <w:spacing w:line="560" w:lineRule="exact"/>
        <w:ind w:left="319" w:leftChars="152" w:firstLine="321" w:firstLineChars="100"/>
        <w:textAlignment w:val="auto"/>
        <w:outlineLvl w:val="1"/>
        <w:rPr>
          <w:rFonts w:hint="eastAsia" w:ascii="楷体_GB2312" w:hAnsi="楷体_GB2312" w:eastAsia="楷体_GB2312" w:cs="楷体_GB2312"/>
          <w:b/>
          <w:bCs/>
          <w:color w:val="auto"/>
          <w:sz w:val="32"/>
          <w:szCs w:val="32"/>
          <w:highlight w:val="none"/>
        </w:rPr>
      </w:pPr>
      <w:bookmarkStart w:id="17" w:name="_Toc23538"/>
      <w:r>
        <w:rPr>
          <w:rFonts w:hint="eastAsia" w:ascii="楷体_GB2312" w:hAnsi="楷体_GB2312" w:eastAsia="楷体_GB2312" w:cs="楷体_GB2312"/>
          <w:b/>
          <w:bCs/>
          <w:color w:val="auto"/>
          <w:sz w:val="32"/>
          <w:szCs w:val="32"/>
          <w:highlight w:val="none"/>
          <w:lang w:val="en-US" w:eastAsia="zh-CN"/>
        </w:rPr>
        <w:t xml:space="preserve">1.5 </w:t>
      </w:r>
      <w:r>
        <w:rPr>
          <w:rFonts w:hint="eastAsia" w:ascii="楷体_GB2312" w:hAnsi="楷体_GB2312" w:eastAsia="楷体_GB2312" w:cs="楷体_GB2312"/>
          <w:b/>
          <w:bCs/>
          <w:color w:val="auto"/>
          <w:sz w:val="32"/>
          <w:szCs w:val="32"/>
          <w:highlight w:val="none"/>
        </w:rPr>
        <w:t>事件分级</w:t>
      </w:r>
      <w:bookmarkEnd w:id="17"/>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根据突发环境事件的社会危害程度、影响范围等因素，将突发环境事件分为特别重大、重大、较大和一般四级。突发环境事件分级标准见附件1。</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color w:val="auto"/>
          <w:sz w:val="32"/>
          <w:szCs w:val="32"/>
          <w:highlight w:val="none"/>
        </w:rPr>
      </w:pPr>
      <w:bookmarkStart w:id="18" w:name="_Toc9041"/>
      <w:r>
        <w:rPr>
          <w:rFonts w:hint="eastAsia" w:ascii="楷体_GB2312" w:hAnsi="楷体_GB2312" w:eastAsia="楷体_GB2312" w:cs="楷体_GB2312"/>
          <w:b/>
          <w:bCs/>
          <w:color w:val="auto"/>
          <w:sz w:val="32"/>
          <w:szCs w:val="32"/>
          <w:highlight w:val="none"/>
          <w:lang w:val="en-US" w:eastAsia="zh-CN"/>
        </w:rPr>
        <w:t xml:space="preserve">1.6 </w:t>
      </w:r>
      <w:r>
        <w:rPr>
          <w:rFonts w:hint="eastAsia" w:ascii="楷体_GB2312" w:hAnsi="楷体_GB2312" w:eastAsia="楷体_GB2312" w:cs="楷体_GB2312"/>
          <w:b/>
          <w:bCs/>
          <w:color w:val="auto"/>
          <w:sz w:val="32"/>
          <w:szCs w:val="32"/>
          <w:highlight w:val="none"/>
        </w:rPr>
        <w:t>预案体系</w:t>
      </w:r>
      <w:bookmarkEnd w:id="18"/>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本预案为</w:t>
      </w:r>
      <w:r>
        <w:rPr>
          <w:rFonts w:hint="eastAsia" w:ascii="仿宋_GB2312" w:hAnsi="宋体" w:eastAsia="仿宋_GB2312"/>
          <w:color w:val="auto"/>
          <w:sz w:val="32"/>
          <w:szCs w:val="32"/>
          <w:highlight w:val="none"/>
          <w:lang w:val="en-US" w:eastAsia="zh-CN"/>
        </w:rPr>
        <w:t>黔东南州</w:t>
      </w:r>
      <w:r>
        <w:rPr>
          <w:rFonts w:hint="eastAsia" w:ascii="仿宋_GB2312" w:hAnsi="宋体" w:eastAsia="仿宋_GB2312"/>
          <w:color w:val="auto"/>
          <w:sz w:val="32"/>
          <w:szCs w:val="32"/>
          <w:highlight w:val="none"/>
        </w:rPr>
        <w:t>突发环境事件应急综合预案，主要对</w:t>
      </w:r>
      <w:r>
        <w:rPr>
          <w:rFonts w:hint="eastAsia" w:ascii="仿宋_GB2312" w:hAnsi="宋体" w:eastAsia="仿宋_GB2312"/>
          <w:color w:val="auto"/>
          <w:sz w:val="32"/>
          <w:szCs w:val="32"/>
          <w:highlight w:val="none"/>
          <w:lang w:val="en-US" w:eastAsia="zh-CN"/>
        </w:rPr>
        <w:t>黔东南州</w:t>
      </w:r>
      <w:r>
        <w:rPr>
          <w:rFonts w:hint="eastAsia" w:ascii="仿宋_GB2312" w:hAnsi="宋体" w:eastAsia="仿宋_GB2312"/>
          <w:color w:val="auto"/>
          <w:sz w:val="32"/>
          <w:szCs w:val="32"/>
          <w:highlight w:val="none"/>
        </w:rPr>
        <w:t>范围内发生的突发环境事件的应对和处置进行综合性指导和规范，各</w:t>
      </w:r>
      <w:r>
        <w:rPr>
          <w:rFonts w:hint="eastAsia" w:ascii="仿宋_GB2312" w:hAnsi="宋体" w:eastAsia="仿宋_GB2312"/>
          <w:color w:val="auto"/>
          <w:sz w:val="32"/>
          <w:szCs w:val="32"/>
          <w:highlight w:val="none"/>
          <w:lang w:eastAsia="zh-CN"/>
        </w:rPr>
        <w:t>县（</w:t>
      </w:r>
      <w:r>
        <w:rPr>
          <w:rFonts w:hint="eastAsia" w:ascii="仿宋_GB2312" w:hAnsi="宋体" w:eastAsia="仿宋_GB2312"/>
          <w:color w:val="auto"/>
          <w:sz w:val="32"/>
          <w:szCs w:val="32"/>
          <w:highlight w:val="none"/>
          <w:lang w:val="en-US" w:eastAsia="zh-CN"/>
        </w:rPr>
        <w:t>市</w:t>
      </w:r>
      <w:r>
        <w:rPr>
          <w:rFonts w:hint="eastAsia" w:ascii="仿宋_GB2312" w:hAnsi="宋体" w:eastAsia="仿宋_GB2312"/>
          <w:color w:val="auto"/>
          <w:sz w:val="32"/>
          <w:szCs w:val="32"/>
          <w:highlight w:val="none"/>
          <w:lang w:eastAsia="zh-CN"/>
        </w:rPr>
        <w:t>）人民政府</w:t>
      </w:r>
      <w:r>
        <w:rPr>
          <w:rFonts w:hint="eastAsia" w:ascii="仿宋_GB2312" w:hAnsi="宋体" w:eastAsia="仿宋_GB2312"/>
          <w:color w:val="auto"/>
          <w:sz w:val="32"/>
          <w:szCs w:val="32"/>
          <w:highlight w:val="none"/>
        </w:rPr>
        <w:t>、经济技术开发区</w:t>
      </w:r>
      <w:r>
        <w:rPr>
          <w:rFonts w:hint="eastAsia" w:ascii="仿宋_GB2312" w:hAnsi="宋体" w:eastAsia="仿宋_GB2312"/>
          <w:color w:val="auto"/>
          <w:sz w:val="32"/>
          <w:szCs w:val="32"/>
          <w:highlight w:val="none"/>
          <w:lang w:val="en-US" w:eastAsia="zh-CN"/>
        </w:rPr>
        <w:t>管委会</w:t>
      </w:r>
      <w:r>
        <w:rPr>
          <w:rFonts w:hint="eastAsia" w:ascii="仿宋_GB2312" w:hAnsi="宋体" w:eastAsia="仿宋_GB2312"/>
          <w:color w:val="auto"/>
          <w:sz w:val="32"/>
          <w:szCs w:val="32"/>
          <w:highlight w:val="none"/>
        </w:rPr>
        <w:t>相关部门及单位应根据自身实际情况、工作职责制定本地区、部门或单位突发环境事件专项应急预案或</w:t>
      </w:r>
      <w:r>
        <w:rPr>
          <w:rFonts w:hint="eastAsia" w:ascii="仿宋_GB2312" w:hAnsi="宋体" w:eastAsia="仿宋_GB2312"/>
          <w:color w:val="auto"/>
          <w:sz w:val="32"/>
          <w:szCs w:val="32"/>
          <w:highlight w:val="none"/>
          <w:lang w:val="en-US" w:eastAsia="zh-CN"/>
        </w:rPr>
        <w:t>应对实施</w:t>
      </w:r>
      <w:r>
        <w:rPr>
          <w:rFonts w:hint="eastAsia" w:ascii="仿宋_GB2312" w:hAnsi="宋体" w:eastAsia="仿宋_GB2312"/>
          <w:color w:val="auto"/>
          <w:sz w:val="32"/>
          <w:szCs w:val="32"/>
          <w:highlight w:val="none"/>
        </w:rPr>
        <w:t>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全州突发环境事件应急预案包括：州级</w:t>
      </w:r>
      <w:r>
        <w:rPr>
          <w:rFonts w:hint="eastAsia" w:ascii="仿宋_GB2312" w:hAnsi="宋体" w:eastAsia="仿宋_GB2312"/>
          <w:color w:val="auto"/>
          <w:sz w:val="32"/>
          <w:szCs w:val="32"/>
          <w:highlight w:val="none"/>
          <w:lang w:val="en-US" w:eastAsia="zh-CN"/>
        </w:rPr>
        <w:t>层面</w:t>
      </w:r>
      <w:r>
        <w:rPr>
          <w:rFonts w:hint="eastAsia" w:ascii="仿宋_GB2312" w:hAnsi="宋体" w:eastAsia="仿宋_GB2312"/>
          <w:color w:val="auto"/>
          <w:sz w:val="32"/>
          <w:szCs w:val="32"/>
          <w:highlight w:val="none"/>
        </w:rPr>
        <w:t>突发环境事件应急预案</w:t>
      </w:r>
      <w:r>
        <w:rPr>
          <w:rFonts w:hint="eastAsia" w:ascii="仿宋_GB2312" w:hAnsi="宋体" w:eastAsia="仿宋_GB2312"/>
          <w:color w:val="auto"/>
          <w:sz w:val="32"/>
          <w:szCs w:val="32"/>
          <w:highlight w:val="none"/>
          <w:lang w:val="en-US" w:eastAsia="zh-CN"/>
        </w:rPr>
        <w:t>及其专项应急预案</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县（市</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开发区</w:t>
      </w:r>
      <w:r>
        <w:rPr>
          <w:rFonts w:hint="eastAsia" w:ascii="仿宋_GB2312" w:hAnsi="宋体" w:eastAsia="仿宋_GB2312"/>
          <w:color w:val="auto"/>
          <w:sz w:val="32"/>
          <w:szCs w:val="32"/>
          <w:highlight w:val="none"/>
        </w:rPr>
        <w:t>）级突发环境事件应急预案</w:t>
      </w:r>
      <w:r>
        <w:rPr>
          <w:rFonts w:hint="eastAsia" w:ascii="仿宋_GB2312" w:hAnsi="宋体" w:eastAsia="仿宋_GB2312"/>
          <w:color w:val="auto"/>
          <w:sz w:val="32"/>
          <w:szCs w:val="32"/>
          <w:highlight w:val="none"/>
          <w:lang w:val="en-US" w:eastAsia="zh-CN"/>
        </w:rPr>
        <w:t>及其专项预案，</w:t>
      </w:r>
      <w:r>
        <w:rPr>
          <w:rFonts w:hint="eastAsia" w:ascii="仿宋_GB2312" w:hAnsi="宋体" w:eastAsia="仿宋_GB2312"/>
          <w:color w:val="auto"/>
          <w:sz w:val="32"/>
          <w:szCs w:val="32"/>
          <w:highlight w:val="none"/>
        </w:rPr>
        <w:t>以及企事业单位突发环境事件应急预案</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或应对实施方案</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事件发生时，涉事企事业单位及其他经营者应立即启动企业内部应急预案，州、县（市</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开发区</w:t>
      </w:r>
      <w:r>
        <w:rPr>
          <w:rFonts w:hint="eastAsia" w:ascii="仿宋_GB2312" w:hAnsi="宋体" w:eastAsia="仿宋_GB2312"/>
          <w:color w:val="auto"/>
          <w:sz w:val="32"/>
          <w:szCs w:val="32"/>
          <w:highlight w:val="none"/>
        </w:rPr>
        <w:t>）级救援力量赶赴现场时，依次启动县（市</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开发区</w:t>
      </w:r>
      <w:r>
        <w:rPr>
          <w:rFonts w:hint="eastAsia" w:ascii="仿宋_GB2312" w:hAnsi="宋体" w:eastAsia="仿宋_GB2312"/>
          <w:color w:val="auto"/>
          <w:sz w:val="32"/>
          <w:szCs w:val="32"/>
          <w:highlight w:val="none"/>
        </w:rPr>
        <w:t>）、州级应急预案，必要时，由</w:t>
      </w:r>
      <w:r>
        <w:rPr>
          <w:rFonts w:hint="eastAsia" w:ascii="仿宋_GB2312" w:hAnsi="宋体" w:eastAsia="仿宋_GB2312"/>
          <w:color w:val="auto"/>
          <w:sz w:val="32"/>
          <w:szCs w:val="32"/>
          <w:highlight w:val="none"/>
          <w:lang w:val="en-US" w:eastAsia="zh-CN"/>
        </w:rPr>
        <w:t>贵州</w:t>
      </w:r>
      <w:r>
        <w:rPr>
          <w:rFonts w:hint="eastAsia" w:ascii="仿宋_GB2312" w:hAnsi="宋体" w:eastAsia="仿宋_GB2312"/>
          <w:color w:val="auto"/>
          <w:sz w:val="32"/>
          <w:szCs w:val="32"/>
          <w:highlight w:val="none"/>
        </w:rPr>
        <w:t>省人民政府启动省</w:t>
      </w:r>
      <w:r>
        <w:rPr>
          <w:rFonts w:hint="eastAsia" w:ascii="仿宋_GB2312" w:hAnsi="宋体" w:eastAsia="仿宋_GB2312"/>
          <w:color w:val="auto"/>
          <w:sz w:val="32"/>
          <w:szCs w:val="32"/>
          <w:highlight w:val="none"/>
          <w:lang w:val="en-US" w:eastAsia="zh-CN"/>
        </w:rPr>
        <w:t>级</w:t>
      </w:r>
      <w:r>
        <w:rPr>
          <w:rFonts w:hint="eastAsia" w:ascii="仿宋_GB2312" w:hAnsi="宋体" w:eastAsia="仿宋_GB2312"/>
          <w:color w:val="auto"/>
          <w:sz w:val="32"/>
          <w:szCs w:val="32"/>
          <w:highlight w:val="none"/>
        </w:rPr>
        <w:t>突发环境事件应急预案。具体预案体系见下图。</w:t>
      </w:r>
    </w:p>
    <w:p>
      <w:pPr>
        <w:widowControl/>
        <w:spacing w:line="600" w:lineRule="exact"/>
        <w:ind w:firstLine="640" w:firstLineChars="200"/>
        <w:rPr>
          <w:rFonts w:hint="eastAsia" w:ascii="黑体" w:hAnsi="黑体" w:eastAsia="黑体" w:cs="黑体"/>
          <w:color w:val="auto"/>
          <w:sz w:val="32"/>
          <w:szCs w:val="32"/>
          <w:highlight w:val="none"/>
        </w:rPr>
      </w:pPr>
      <w:r>
        <w:rPr>
          <w:sz w:val="32"/>
        </w:rPr>
        <mc:AlternateContent>
          <mc:Choice Requires="wpg">
            <w:drawing>
              <wp:anchor distT="0" distB="0" distL="114300" distR="114300" simplePos="0" relativeHeight="251673600" behindDoc="0" locked="0" layoutInCell="1" allowOverlap="1">
                <wp:simplePos x="0" y="0"/>
                <wp:positionH relativeFrom="column">
                  <wp:posOffset>727710</wp:posOffset>
                </wp:positionH>
                <wp:positionV relativeFrom="paragraph">
                  <wp:posOffset>297180</wp:posOffset>
                </wp:positionV>
                <wp:extent cx="4023360" cy="2414270"/>
                <wp:effectExtent l="4445" t="4445" r="10795" b="19685"/>
                <wp:wrapNone/>
                <wp:docPr id="84" name="组合 84"/>
                <wp:cNvGraphicFramePr/>
                <a:graphic xmlns:a="http://schemas.openxmlformats.org/drawingml/2006/main">
                  <a:graphicData uri="http://schemas.microsoft.com/office/word/2010/wordprocessingGroup">
                    <wpg:wgp>
                      <wpg:cNvGrpSpPr/>
                      <wpg:grpSpPr>
                        <a:xfrm>
                          <a:off x="0" y="0"/>
                          <a:ext cx="4023360" cy="2414270"/>
                          <a:chOff x="6774" y="61742"/>
                          <a:chExt cx="6336" cy="3802"/>
                        </a:xfrm>
                      </wpg:grpSpPr>
                      <wpg:grpSp>
                        <wpg:cNvPr id="70" name="组合 70"/>
                        <wpg:cNvGrpSpPr/>
                        <wpg:grpSpPr>
                          <a:xfrm>
                            <a:off x="6774" y="61742"/>
                            <a:ext cx="6336" cy="3803"/>
                            <a:chOff x="8616" y="61775"/>
                            <a:chExt cx="6336" cy="3803"/>
                          </a:xfrm>
                        </wpg:grpSpPr>
                        <wpg:grpSp>
                          <wpg:cNvPr id="21" name="组合 253"/>
                          <wpg:cNvGrpSpPr/>
                          <wpg:grpSpPr>
                            <a:xfrm rot="0">
                              <a:off x="8616" y="61775"/>
                              <a:ext cx="6336" cy="3803"/>
                              <a:chOff x="8508" y="89940"/>
                              <a:chExt cx="6337" cy="3803"/>
                            </a:xfrm>
                          </wpg:grpSpPr>
                          <wps:wsp>
                            <wps:cNvPr id="256" name="文本框 53"/>
                            <wps:cNvSpPr txBox="1"/>
                            <wps:spPr>
                              <a:xfrm>
                                <a:off x="12102" y="89940"/>
                                <a:ext cx="2743" cy="7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sz w:val="24"/>
                                      <w:szCs w:val="24"/>
                                      <w:lang w:eastAsia="zh-CN"/>
                                    </w:rPr>
                                  </w:pPr>
                                  <w:r>
                                    <w:rPr>
                                      <w:rFonts w:hint="eastAsia" w:ascii="仿宋" w:hAnsi="仿宋" w:eastAsia="仿宋" w:cs="仿宋"/>
                                      <w:sz w:val="24"/>
                                      <w:szCs w:val="24"/>
                                    </w:rPr>
                                    <w:t>企事业单位</w:t>
                                  </w:r>
                                  <w:r>
                                    <w:rPr>
                                      <w:rFonts w:hint="eastAsia" w:ascii="仿宋" w:hAnsi="仿宋" w:eastAsia="仿宋" w:cs="仿宋"/>
                                      <w:sz w:val="24"/>
                                      <w:szCs w:val="24"/>
                                      <w:lang w:val="en-US" w:eastAsia="zh-CN"/>
                                    </w:rPr>
                                    <w:t>突发环境事件</w:t>
                                  </w:r>
                                  <w:r>
                                    <w:rPr>
                                      <w:rFonts w:hint="eastAsia" w:ascii="仿宋" w:hAnsi="仿宋" w:eastAsia="仿宋" w:cs="仿宋"/>
                                      <w:sz w:val="24"/>
                                      <w:szCs w:val="24"/>
                                    </w:rPr>
                                    <w:t>应急</w:t>
                                  </w:r>
                                  <w:r>
                                    <w:rPr>
                                      <w:rFonts w:hint="eastAsia" w:ascii="仿宋" w:hAnsi="仿宋" w:eastAsia="仿宋" w:cs="仿宋"/>
                                      <w:sz w:val="24"/>
                                      <w:szCs w:val="24"/>
                                      <w:lang w:val="en-US" w:eastAsia="zh-CN"/>
                                    </w:rPr>
                                    <w:t>预案</w:t>
                                  </w:r>
                                </w:p>
                              </w:txbxContent>
                            </wps:txbx>
                            <wps:bodyPr upright="1"/>
                          </wps:wsp>
                          <wps:wsp>
                            <wps:cNvPr id="278" name="文本框 55"/>
                            <wps:cNvSpPr txBox="1"/>
                            <wps:spPr>
                              <a:xfrm>
                                <a:off x="8922" y="92805"/>
                                <a:ext cx="2179" cy="7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sz w:val="24"/>
                                      <w:szCs w:val="24"/>
                                    </w:rPr>
                                  </w:pPr>
                                  <w:r>
                                    <w:rPr>
                                      <w:rFonts w:hint="eastAsia" w:ascii="仿宋" w:hAnsi="仿宋" w:eastAsia="仿宋" w:cs="仿宋"/>
                                      <w:sz w:val="24"/>
                                      <w:szCs w:val="24"/>
                                      <w:lang w:val="en-US" w:eastAsia="zh-CN"/>
                                    </w:rPr>
                                    <w:t>黔东南州</w:t>
                                  </w:r>
                                  <w:r>
                                    <w:rPr>
                                      <w:rFonts w:hint="eastAsia" w:ascii="仿宋" w:hAnsi="仿宋" w:eastAsia="仿宋" w:cs="仿宋"/>
                                      <w:sz w:val="24"/>
                                      <w:szCs w:val="24"/>
                                    </w:rPr>
                                    <w:t>突发环境事件应急预案</w:t>
                                  </w:r>
                                </w:p>
                              </w:txbxContent>
                            </wps:txbx>
                            <wps:bodyPr wrap="square" upright="1">
                              <a:spAutoFit/>
                            </wps:bodyPr>
                          </wps:wsp>
                          <wps:wsp>
                            <wps:cNvPr id="279" name="文本框 56"/>
                            <wps:cNvSpPr txBox="1"/>
                            <wps:spPr>
                              <a:xfrm>
                                <a:off x="8508" y="91486"/>
                                <a:ext cx="3011" cy="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县（市、开发区）级突发环境事件</w:t>
                                  </w:r>
                                  <w:r>
                                    <w:rPr>
                                      <w:rFonts w:hint="eastAsia" w:ascii="仿宋" w:hAnsi="仿宋" w:eastAsia="仿宋" w:cs="仿宋"/>
                                      <w:sz w:val="24"/>
                                      <w:szCs w:val="24"/>
                                    </w:rPr>
                                    <w:t>应急预案</w:t>
                                  </w:r>
                                </w:p>
                              </w:txbxContent>
                            </wps:txbx>
                            <wps:bodyPr upright="1"/>
                          </wps:wsp>
                          <wps:wsp>
                            <wps:cNvPr id="280" name="文本框 56"/>
                            <wps:cNvSpPr txBox="1"/>
                            <wps:spPr>
                              <a:xfrm>
                                <a:off x="12254" y="92807"/>
                                <a:ext cx="2581"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val="0"/>
                                    <w:autoSpaceDE w:val="0"/>
                                    <w:autoSpaceDN w:val="0"/>
                                    <w:adjustRightInd w:val="0"/>
                                    <w:jc w:val="center"/>
                                    <w:rPr>
                                      <w:rFonts w:hint="default" w:ascii="仿宋" w:hAnsi="仿宋" w:eastAsia="仿宋" w:cs="仿宋"/>
                                      <w:color w:val="auto"/>
                                      <w:kern w:val="2"/>
                                      <w:sz w:val="21"/>
                                      <w:szCs w:val="22"/>
                                      <w:lang w:val="en-US" w:eastAsia="zh-CN" w:bidi="ar-SA"/>
                                    </w:rPr>
                                  </w:pPr>
                                  <w:r>
                                    <w:rPr>
                                      <w:rFonts w:hint="eastAsia" w:ascii="仿宋" w:hAnsi="仿宋" w:eastAsia="仿宋" w:cs="仿宋"/>
                                      <w:color w:val="auto"/>
                                      <w:kern w:val="2"/>
                                      <w:sz w:val="24"/>
                                      <w:szCs w:val="24"/>
                                      <w:lang w:val="en-US" w:eastAsia="zh-CN" w:bidi="ar-SA"/>
                                    </w:rPr>
                                    <w:t>黔东南州突发环境事件其他专项应急预案</w:t>
                                  </w:r>
                                </w:p>
                              </w:txbxContent>
                            </wps:txbx>
                            <wps:bodyPr upright="1"/>
                          </wps:wsp>
                          <wps:wsp>
                            <wps:cNvPr id="281" name="文本框 56"/>
                            <wps:cNvSpPr txBox="1"/>
                            <wps:spPr>
                              <a:xfrm>
                                <a:off x="11233" y="92764"/>
                                <a:ext cx="906" cy="495"/>
                              </a:xfrm>
                              <a:prstGeom prst="rect">
                                <a:avLst/>
                              </a:prstGeom>
                              <a:solidFill>
                                <a:srgbClr val="FFFFFF"/>
                              </a:solidFill>
                              <a:ln w="9525" cap="flat" cmpd="sng">
                                <a:noFill/>
                                <a:prstDash val="solid"/>
                                <a:miter/>
                                <a:headEnd type="none" w="med" len="med"/>
                                <a:tailEnd type="none" w="med" len="med"/>
                              </a:ln>
                            </wps:spPr>
                            <wps:txbx>
                              <w:txbxContent>
                                <w:p>
                                  <w:pPr>
                                    <w:jc w:val="center"/>
                                    <w:rPr>
                                      <w:rFonts w:hint="eastAsia" w:ascii="仿宋" w:hAnsi="仿宋" w:eastAsia="仿宋" w:cs="仿宋"/>
                                      <w:sz w:val="24"/>
                                      <w:szCs w:val="24"/>
                                    </w:rPr>
                                  </w:pPr>
                                  <w:r>
                                    <w:rPr>
                                      <w:rFonts w:hint="eastAsia" w:ascii="仿宋" w:hAnsi="仿宋" w:eastAsia="仿宋" w:cs="仿宋"/>
                                      <w:sz w:val="24"/>
                                      <w:szCs w:val="24"/>
                                    </w:rPr>
                                    <w:t>协调</w:t>
                                  </w:r>
                                </w:p>
                              </w:txbxContent>
                            </wps:txbx>
                            <wps:bodyPr upright="1"/>
                          </wps:wsp>
                          <wps:wsp>
                            <wps:cNvPr id="282" name="文本框 56"/>
                            <wps:cNvSpPr txBox="1"/>
                            <wps:spPr>
                              <a:xfrm>
                                <a:off x="11236" y="93278"/>
                                <a:ext cx="897" cy="465"/>
                              </a:xfrm>
                              <a:prstGeom prst="rect">
                                <a:avLst/>
                              </a:prstGeom>
                              <a:solidFill>
                                <a:srgbClr val="FFFFFF"/>
                              </a:solidFill>
                              <a:ln w="9525" cap="flat" cmpd="sng">
                                <a:noFill/>
                                <a:prstDash val="solid"/>
                                <a:miter/>
                                <a:headEnd type="none" w="med" len="med"/>
                                <a:tailEnd type="none" w="med" len="med"/>
                              </a:ln>
                            </wps:spPr>
                            <wps:txbx>
                              <w:txbxContent>
                                <w:p>
                                  <w:pPr>
                                    <w:jc w:val="center"/>
                                    <w:rPr>
                                      <w:rFonts w:hint="eastAsia" w:ascii="仿宋" w:hAnsi="仿宋" w:eastAsia="仿宋" w:cs="仿宋"/>
                                      <w:sz w:val="24"/>
                                      <w:szCs w:val="24"/>
                                    </w:rPr>
                                  </w:pPr>
                                  <w:r>
                                    <w:rPr>
                                      <w:rFonts w:hint="eastAsia" w:ascii="仿宋" w:hAnsi="仿宋" w:eastAsia="仿宋" w:cs="仿宋"/>
                                      <w:sz w:val="24"/>
                                      <w:szCs w:val="24"/>
                                    </w:rPr>
                                    <w:t>配合</w:t>
                                  </w:r>
                                </w:p>
                              </w:txbxContent>
                            </wps:txbx>
                            <wps:bodyPr upright="1"/>
                          </wps:wsp>
                          <wps:wsp>
                            <wps:cNvPr id="283" name="直接箭头连接符 54"/>
                            <wps:cNvCnPr/>
                            <wps:spPr>
                              <a:xfrm flipV="1">
                                <a:off x="11155" y="93171"/>
                                <a:ext cx="1100" cy="12"/>
                              </a:xfrm>
                              <a:prstGeom prst="straightConnector1">
                                <a:avLst/>
                              </a:prstGeom>
                              <a:ln w="9525" cap="flat" cmpd="sng">
                                <a:solidFill>
                                  <a:srgbClr val="000000"/>
                                </a:solidFill>
                                <a:prstDash val="solid"/>
                                <a:headEnd type="none" w="med" len="med"/>
                                <a:tailEnd type="triangle" w="med" len="med"/>
                              </a:ln>
                            </wps:spPr>
                            <wps:bodyPr/>
                          </wps:wsp>
                          <wps:wsp>
                            <wps:cNvPr id="285" name="直接箭头连接符 54"/>
                            <wps:cNvCnPr/>
                            <wps:spPr>
                              <a:xfrm flipV="1">
                                <a:off x="11122" y="93291"/>
                                <a:ext cx="1120" cy="12"/>
                              </a:xfrm>
                              <a:prstGeom prst="straightConnector1">
                                <a:avLst/>
                              </a:prstGeom>
                              <a:ln w="9525" cap="flat" cmpd="sng">
                                <a:solidFill>
                                  <a:srgbClr val="000000"/>
                                </a:solidFill>
                                <a:prstDash val="solid"/>
                                <a:headEnd type="triangle" w="med" len="med"/>
                                <a:tailEnd type="none" w="med" len="med"/>
                              </a:ln>
                            </wps:spPr>
                            <wps:bodyPr/>
                          </wps:wsp>
                        </wpg:grpSp>
                        <wps:wsp>
                          <wps:cNvPr id="69" name="文本框 53"/>
                          <wps:cNvSpPr txBox="1"/>
                          <wps:spPr>
                            <a:xfrm>
                              <a:off x="9064" y="61915"/>
                              <a:ext cx="2126"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突发环境事件</w:t>
                                </w:r>
                              </w:p>
                            </w:txbxContent>
                          </wps:txbx>
                          <wps:bodyPr upright="1"/>
                        </wps:wsp>
                      </wpg:grpSp>
                      <wps:wsp>
                        <wps:cNvPr id="73" name="直接箭头连接符 73"/>
                        <wps:cNvCnPr>
                          <a:stCxn id="69" idx="3"/>
                          <a:endCxn id="256" idx="1"/>
                        </wps:cNvCnPr>
                        <wps:spPr>
                          <a:xfrm>
                            <a:off x="9348" y="62117"/>
                            <a:ext cx="1019" cy="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9" name="直接箭头连接符 79"/>
                        <wps:cNvCnPr>
                          <a:stCxn id="69" idx="2"/>
                          <a:endCxn id="279" idx="0"/>
                        </wps:cNvCnPr>
                        <wps:spPr>
                          <a:xfrm flipH="1">
                            <a:off x="8280" y="62351"/>
                            <a:ext cx="5" cy="93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1" name="直接箭头连接符 81"/>
                        <wps:cNvCnPr>
                          <a:stCxn id="279" idx="2"/>
                          <a:endCxn id="278" idx="0"/>
                        </wps:cNvCnPr>
                        <wps:spPr>
                          <a:xfrm flipH="1">
                            <a:off x="8278" y="64038"/>
                            <a:ext cx="2" cy="56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3" name="肘形连接符 83"/>
                        <wps:cNvCnPr>
                          <a:stCxn id="256" idx="2"/>
                          <a:endCxn id="279" idx="3"/>
                        </wps:cNvCnPr>
                        <wps:spPr>
                          <a:xfrm rot="5400000">
                            <a:off x="10185" y="62109"/>
                            <a:ext cx="1154" cy="1954"/>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57.3pt;margin-top:23.4pt;height:190.1pt;width:316.8pt;z-index:251673600;mso-width-relative:page;mso-height-relative:page;" coordorigin="6774,61742" coordsize="6336,3802" o:gfxdata="UEsDBAoAAAAAAIdO4kAAAAAAAAAAAAAAAAAEAAAAZHJzL1BLAwQUAAAACACHTuJA7ff7qtoAAAAK&#10;AQAADwAAAGRycy9kb3ducmV2LnhtbE2PwU7DMBBE70j8g7WVuFHbIaRVGqdCFXCqkGiREDc33iZR&#10;YzuK3aT9e5YTPc7s0+xMsb7Yjo04hNY7BXIugKGrvGldreBr//a4BBaidkZ33qGCKwZYl/d3hc6N&#10;n9wnjrtYMwpxIdcKmhj7nPNQNWh1mPseHd2OfrA6khxqbgY9UbjteCJExq1uHX1odI+bBqvT7mwV&#10;vE96enmSr+P2dNxcf/bPH99biUo9zKRYAYt4if8w/NWn6lBSp4M/OxNYR1qmGaEK0owmELBIlwmw&#10;AxnJQgAvC347ofwFUEsDBBQAAAAIAIdO4kBeuFaD3QUAAHIjAAAOAAAAZHJzL2Uyb0RvYy54bWzt&#10;Wstu5EQU3SPxD5b3pF3ldyudESSTYYFgpAH2FdvttmS7TJU73dkiNLBCrBASCAkErAZWs0OIr0ky&#10;n8Gth90vd9J5NRB1Fp2yq3yr6ta5r2PvP5kWuXGaMJ7RcmCiPcs0kjKicVamA/OTj4/fCUyD16SM&#10;SU7LZGCeJdx8cvD2W/uTqp9gOqJ5nDADhJS8P6kG5qiuq36vx6NRUhC+R6ukhM4hZQWp4ZKlvZiR&#10;CUgv8h62LK83oSyuGI0SzuHukeo0tUS2iUA6HGZRckSjcZGUtZLKkpzUsCU+yipuHsjVDodJVH80&#10;HPKkNvKBCTut5S9MAu0T8ds72Cf9lJFqlEV6CWSTJSztqSBZCZO2oo5ITYwxy1ZEFVnEKKfDei+i&#10;RU9tRGoEdoGsJd08Y3Rcyb2k/UlatUqHg1rS+q3FRh+ePmdGFg/MwDGNkhRw4pd/fnH+zVcG3ADt&#10;TKq0D4OesepF9ZzpG6m6EhueDlkh/sNWjKnU61mr12RaGxHcdCxs2x6oPII+7CAH+1rz0QiORzzn&#10;+T7MD90e8h2sjiUaPdUCPHhcPW0HluztNTP3xALb9bQXD6srWP6irtR+bqirrj03KlvYsd3oQysr&#10;8BCoQynLd5vOTmXJR/9dZWG0pCzsylVtoi2DUWmycwjr2vxmWnMtcG2gtSAMnRZ/c1rzW4hdrTXw&#10;e3xmjPxuxvhiRKpE2jgXdqaNEbtwwMoaL7798uKHVxc/vTQatcmBwhqNevoeBeNBAgKTivc53Oww&#10;SoQRWM3S1hudYd+x1cZ9zxeCWrSQfsV4/SyhhSEaA5OBO5Vejpx+wGs1tBkipuU0z+LjLM/lBUtP&#10;DnNmnBJwvcfyT0tfGJaXxmRghi52YREE4skQ/Dg0iwp8Ei9TOd/CE3xesCX/ugSLhR0RPlILkBLE&#10;MNIvsjphsjVKSPy0jI36rAK3V0K4M8ViiiQ2jTyB6ChacmRNsnyTkaC7vAQVzg5DtOrpyRTEiOYJ&#10;jc/g4MYVy9IRqFQenRwOmFJDHh5cPtjBCrikHxFLBBTeBFxBiBW2QhxY2hm12EJ+qLEVLNrUDlsP&#10;hq0JZDNgOp+NCQM8zyFNWmX17rimx5m03hkgNWS3iUEAxgoGPWFtt8Fg49pD5ARSCOk3GLQtBAFI&#10;ZB6+K73+zr89dv8WtOnZXPC8LbYQxq5KTYWDkxFyBi7sBg24YFIA7w5cjx5cbTp7H+BCUBnJzCzE&#10;vicLrhm4QksXPU4o4+p/EFslhJI8lynSLt8q0zXJfAAJ0r3FOgSQUdVfaGPI5KTym2AXhLqIcbwd&#10;ZLqT+f9Hig7psobM5fevL77+9fKP389/ef3m7x9F+9VvBoSkWap0WGpmZrECNIZ5Vn0qagyR+WmC&#10;BiHkQqkF6VBoI1+WHzOPg5ClWRq0yLKspOu8ZkRUMIe0LKEqpExNsqYw3H6Rd9vSrmYZKdN8TSHY&#10;jR1V04ngL1LXLebQARyk8iv3D5KmqLNxuAIS/ChBcvXRk/7dOIAOkMyoyy0V/l5XzaW5uBvX/ZCd&#10;NIxtiFbqftykLjCnsIyGrl1xJDtO6Tr2qdvpbM4pbR1m/jWxC/oXY5ckJurDaSlfRAiUZjHQmnIY&#10;BKcybrokLSr7ZrwZ0FUi/ikTWkOAhrajqF8PI7RUwiELaY7qGqTeLOTNZcYq+nk20A/dFKdB8hTY&#10;xqhmD8R2GnlWAO/dcqXLzowwRifaTjv4yw7fpSNd+5rlQVhwQR5eFd+gfyMg6fdJ80ASoiWQVNWu&#10;OaduIMk86v2lPCoAMkCmUR623aUICWFZ8E2hfQ2fvkPUtlMmwdZchSjovwpRuIVNF6TAxdwRUoKY&#10;B+B4jmUvFXZQQQpIudeF0x2ktg6pNtq9+fy7879+ntVo6pXHgmuBd2RtnJsFsy4wNf5JvTZZECIu&#10;5gOdeknqOsq9z9d6FhIlgkAUvAGUznK+1hO0pgAVClU1uT5JO4HPLNpKD8sgtabSe+RhT+ZS8CmG&#10;zGj1ZyPiW4/5a1kHzj6VOfg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AgAAFtDb250ZW50X1R5cGVzXS54bWxQSwECFAAKAAAAAACHTuJAAAAA&#10;AAAAAAAAAAAABgAAAAAAAAAAABAAAAAyBwAAX3JlbHMvUEsBAhQAFAAAAAgAh07iQIoUZjzRAAAA&#10;lAEAAAsAAAAAAAAAAQAgAAAAVgcAAF9yZWxzLy5yZWxzUEsBAhQACgAAAAAAh07iQAAAAAAAAAAA&#10;AAAAAAQAAAAAAAAAAAAQAAAAAAAAAGRycy9QSwECFAAUAAAACACHTuJA7ff7qtoAAAAKAQAADwAA&#10;AAAAAAABACAAAAAiAAAAZHJzL2Rvd25yZXYueG1sUEsBAhQAFAAAAAgAh07iQF64VoPdBQAAciMA&#10;AA4AAAAAAAAAAQAgAAAAKQEAAGRycy9lMm9Eb2MueG1sUEsFBgAAAAAGAAYAWQEAAHgJAAAAAA==&#10;">
                <o:lock v:ext="edit" aspectratio="f"/>
                <v:group id="_x0000_s1026" o:spid="_x0000_s1026" o:spt="203" style="position:absolute;left:6774;top:61742;height:3803;width:6336;" coordorigin="8616,61775" coordsize="6336,3803" o:gfxdata="UEsDBAoAAAAAAIdO4kAAAAAAAAAAAAAAAAAEAAAAZHJzL1BLAwQUAAAACACHTuJAL9F0tbsAAADb&#10;AAAADwAAAGRycy9kb3ducmV2LnhtbEVPy4rCMBTdD/gP4QqzG9M6jEo1FREdZiGCDxB3l+b2gc1N&#10;aWKrfz9ZCC4P571YPkwtOmpdZVlBPIpAEGdWV1woOJ+2XzMQziNrrC2Tgic5WKaDjwUm2vZ8oO7o&#10;CxFC2CWooPS+SaR0WUkG3cg2xIHLbWvQB9gWUrfYh3BTy3EUTaTBikNDiQ2tS8pux7tR8Ntjv/qO&#10;N93ulq+f19PP/rKLSanPYRzNQXh6+Lf45f7TCq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RdLW7AAAA2wAAAA8AAAAAAAAAAQAgAAAAIgAAAGRycy9kb3ducmV2LnhtbFBL&#10;AQIUABQAAAAIAIdO4kAzLwWeOwAAADkAAAAVAAAAAAAAAAEAIAAAAAoBAABkcnMvZ3JvdXBzaGFw&#10;ZXhtbC54bWxQSwUGAAAAAAYABgBgAQAAxwMAAAAA&#10;">
                  <o:lock v:ext="edit" aspectratio="f"/>
                  <v:group id="组合 253" o:spid="_x0000_s1026" o:spt="203" style="position:absolute;left:8616;top:61775;height:3803;width:6336;" coordorigin="8508,89940" coordsize="6337,3803"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文本框 53" o:spid="_x0000_s1026" o:spt="202" type="#_x0000_t202" style="position:absolute;left:12102;top:89940;height:767;width:2743;" fillcolor="#FFFFFF" filled="t" stroked="t" coordsize="21600,21600" o:gfxdata="UEsDBAoAAAAAAIdO4kAAAAAAAAAAAAAAAAAEAAAAZHJzL1BLAwQUAAAACACHTuJAR71IJb4AAADc&#10;AAAADwAAAGRycy9kb3ducmV2LnhtbEWPQWsCMRSE70L/Q3gFL6JZtV3t1uhBUOxNrdjrY/PcXbp5&#10;WZO46r9vCoLHYWa+YWaLm6lFS85XlhUMBwkI4tzqigsFh+9VfwrCB2SNtWVScCcPi/lLZ4aZtlfe&#10;UbsPhYgQ9hkqKENoMil9XpJBP7ANcfRO1hkMUbpCaofXCDe1HCVJKg1WHBdKbGhZUv67vxgF07dN&#10;++O/xttjnp7qj9CbtOuzU6r7Okw+QQS6hWf40d5oBaP3FP7PxCM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71IJ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ascii="仿宋" w:hAnsi="仿宋" w:eastAsia="仿宋" w:cs="仿宋"/>
                                <w:sz w:val="24"/>
                                <w:szCs w:val="24"/>
                                <w:lang w:eastAsia="zh-CN"/>
                              </w:rPr>
                            </w:pPr>
                            <w:r>
                              <w:rPr>
                                <w:rFonts w:hint="eastAsia" w:ascii="仿宋" w:hAnsi="仿宋" w:eastAsia="仿宋" w:cs="仿宋"/>
                                <w:sz w:val="24"/>
                                <w:szCs w:val="24"/>
                              </w:rPr>
                              <w:t>企事业单位</w:t>
                            </w:r>
                            <w:r>
                              <w:rPr>
                                <w:rFonts w:hint="eastAsia" w:ascii="仿宋" w:hAnsi="仿宋" w:eastAsia="仿宋" w:cs="仿宋"/>
                                <w:sz w:val="24"/>
                                <w:szCs w:val="24"/>
                                <w:lang w:val="en-US" w:eastAsia="zh-CN"/>
                              </w:rPr>
                              <w:t>突发环境事件</w:t>
                            </w:r>
                            <w:r>
                              <w:rPr>
                                <w:rFonts w:hint="eastAsia" w:ascii="仿宋" w:hAnsi="仿宋" w:eastAsia="仿宋" w:cs="仿宋"/>
                                <w:sz w:val="24"/>
                                <w:szCs w:val="24"/>
                              </w:rPr>
                              <w:t>应急</w:t>
                            </w:r>
                            <w:r>
                              <w:rPr>
                                <w:rFonts w:hint="eastAsia" w:ascii="仿宋" w:hAnsi="仿宋" w:eastAsia="仿宋" w:cs="仿宋"/>
                                <w:sz w:val="24"/>
                                <w:szCs w:val="24"/>
                                <w:lang w:val="en-US" w:eastAsia="zh-CN"/>
                              </w:rPr>
                              <w:t>预案</w:t>
                            </w:r>
                          </w:p>
                        </w:txbxContent>
                      </v:textbox>
                    </v:shape>
                    <v:shape id="文本框 55" o:spid="_x0000_s1026" o:spt="202" type="#_x0000_t202" style="position:absolute;left:8922;top:92805;height:783;width:2179;" fillcolor="#FFFFFF" filled="t" stroked="t" coordsize="21600,21600" o:gfxdata="UEsDBAoAAAAAAIdO4kAAAAAAAAAAAAAAAAAEAAAAZHJzL1BLAwQUAAAACACHTuJAPVsUM7sAAADc&#10;AAAADwAAAGRycy9kb3ducmV2LnhtbEVPy4rCMBTdC/5DuMLsNFWYUarRhSK4G18g7q7JtSk2N7XJ&#10;1MfXTxYDszyc92zxdJVoqQmlZwXDQQaCWHtTcqHgeFj3JyBCRDZYeSYFLwqwmHc7M8yNf/CO2n0s&#10;RArhkKMCG2OdSxm0JYdh4GvixF194zAm2BTSNPhI4a6Soyz7kg5LTg0Wa1pa0rf9j1MQVtt7ra/b&#10;y82a1/t71X7q0/qs1EdvmE1BRHrGf/Gfe2MUjMZpbTqTjoCc/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VsUM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mso-fit-shape-to-text:t;">
                        <w:txbxContent>
                          <w:p>
                            <w:pPr>
                              <w:jc w:val="center"/>
                              <w:rPr>
                                <w:rFonts w:hint="eastAsia" w:ascii="仿宋" w:hAnsi="仿宋" w:eastAsia="仿宋" w:cs="仿宋"/>
                                <w:sz w:val="24"/>
                                <w:szCs w:val="24"/>
                              </w:rPr>
                            </w:pPr>
                            <w:r>
                              <w:rPr>
                                <w:rFonts w:hint="eastAsia" w:ascii="仿宋" w:hAnsi="仿宋" w:eastAsia="仿宋" w:cs="仿宋"/>
                                <w:sz w:val="24"/>
                                <w:szCs w:val="24"/>
                                <w:lang w:val="en-US" w:eastAsia="zh-CN"/>
                              </w:rPr>
                              <w:t>黔东南州</w:t>
                            </w:r>
                            <w:r>
                              <w:rPr>
                                <w:rFonts w:hint="eastAsia" w:ascii="仿宋" w:hAnsi="仿宋" w:eastAsia="仿宋" w:cs="仿宋"/>
                                <w:sz w:val="24"/>
                                <w:szCs w:val="24"/>
                              </w:rPr>
                              <w:t>突发环境事件应急预案</w:t>
                            </w:r>
                          </w:p>
                        </w:txbxContent>
                      </v:textbox>
                    </v:shape>
                    <v:shape id="文本框 56" o:spid="_x0000_s1026" o:spt="202" type="#_x0000_t202" style="position:absolute;left:8508;top:91486;height:750;width:3011;" fillcolor="#FFFFFF" filled="t" stroked="t" coordsize="21600,21600" o:gfxdata="UEsDBAoAAAAAAIdO4kAAAAAAAAAAAAAAAAAEAAAAZHJzL1BLAwQUAAAACACHTuJAfZeAN8AAAADc&#10;AAAADwAAAGRycy9kb3ducmV2LnhtbEWPT2vCQBTE74V+h+UVeim60ZaoMRsPQkt6q3/Q6yP7TILZ&#10;t3F3G+237xYKHoeZ+Q2Tr26mEwM531pWMBknIIgrq1uuFex376M5CB+QNXaWScEPeVgVjw85Ztpe&#10;eUPDNtQiQthnqKAJoc+k9FVDBv3Y9sTRO1lnMETpaqkdXiPcdHKaJKk02HJcaLCndUPVefttFMzf&#10;yuHoP1+/DlV66hbhZTZ8XJxSz0+TZAki0C3cw//tUiuYzhbwdyYeAVn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9l4A3&#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县（市、开发区）级突发环境事件</w:t>
                            </w:r>
                            <w:r>
                              <w:rPr>
                                <w:rFonts w:hint="eastAsia" w:ascii="仿宋" w:hAnsi="仿宋" w:eastAsia="仿宋" w:cs="仿宋"/>
                                <w:sz w:val="24"/>
                                <w:szCs w:val="24"/>
                              </w:rPr>
                              <w:t>应急预案</w:t>
                            </w:r>
                          </w:p>
                        </w:txbxContent>
                      </v:textbox>
                    </v:shape>
                    <v:shape id="文本框 56" o:spid="_x0000_s1026" o:spt="202" type="#_x0000_t202" style="position:absolute;left:12254;top:92807;height:780;width:2581;" fillcolor="#FFFFFF" filled="t" stroked="t" coordsize="21600,21600" o:gfxdata="UEsDBAoAAAAAAIdO4kAAAAAAAAAAAAAAAAAEAAAAZHJzL1BLAwQUAAAACACHTuJA2XhZjbsAAADc&#10;AAAADwAAAGRycy9kb3ducmV2LnhtbEVPTYvCMBC9L/gfwgheFk3VRWs1elhY0duuil6HZmyLzaQm&#10;seq/Nwdhj4/3vVg9TC1acr6yrGA4SEAQ51ZXXCg47H/6KQgfkDXWlknBkzyslp2PBWba3vmP2l0o&#10;RAxhn6GCMoQmk9LnJRn0A9sQR+5sncEQoSukdniP4aaWoySZSIMVx4YSG/ouKb/sbkZB+rVpT347&#10;/j3mk3M9C5/Tdn11SvW6w2QOItAj/Ivf7o1WMErj/HgmHgG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XhZj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widowControl w:val="0"/>
                              <w:autoSpaceDE w:val="0"/>
                              <w:autoSpaceDN w:val="0"/>
                              <w:adjustRightInd w:val="0"/>
                              <w:jc w:val="center"/>
                              <w:rPr>
                                <w:rFonts w:hint="default" w:ascii="仿宋" w:hAnsi="仿宋" w:eastAsia="仿宋" w:cs="仿宋"/>
                                <w:color w:val="auto"/>
                                <w:kern w:val="2"/>
                                <w:sz w:val="21"/>
                                <w:szCs w:val="22"/>
                                <w:lang w:val="en-US" w:eastAsia="zh-CN" w:bidi="ar-SA"/>
                              </w:rPr>
                            </w:pPr>
                            <w:r>
                              <w:rPr>
                                <w:rFonts w:hint="eastAsia" w:ascii="仿宋" w:hAnsi="仿宋" w:eastAsia="仿宋" w:cs="仿宋"/>
                                <w:color w:val="auto"/>
                                <w:kern w:val="2"/>
                                <w:sz w:val="24"/>
                                <w:szCs w:val="24"/>
                                <w:lang w:val="en-US" w:eastAsia="zh-CN" w:bidi="ar-SA"/>
                              </w:rPr>
                              <w:t>黔东南州突发环境事件其他专项应急预案</w:t>
                            </w:r>
                          </w:p>
                        </w:txbxContent>
                      </v:textbox>
                    </v:shape>
                    <v:shape id="文本框 56" o:spid="_x0000_s1026" o:spt="202" type="#_x0000_t202" style="position:absolute;left:11233;top:92764;height:495;width:906;" fillcolor="#FFFFFF" filled="t" stroked="f" coordsize="21600,21600" o:gfxdata="UEsDBAoAAAAAAIdO4kAAAAAAAAAAAAAAAAAEAAAAZHJzL1BLAwQUAAAACACHTuJAUHiPIbkAAADc&#10;AAAADwAAAGRycy9kb3ducmV2LnhtbEWPzQrCMBCE74LvEFbwIppW/K1GQUHx6s8DrM3aFptNaaLV&#10;tzeC4HGYmW+Y5fplSvGk2hWWFcSDCARxanXBmYLLedefgXAeWWNpmRS8ycF61W4tMdG24SM9Tz4T&#10;AcIuQQW591UipUtzMugGtiIO3s3WBn2QdSZ1jU2Am1IOo2giDRYcFnKsaJtTej89jILboemN5811&#10;7y/T42iywWJ6tW+lup04WoDw9PL/8K990AqGsxi+Z8IR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B4jyG5AAAA3AAA&#10;AA8AAAAAAAAAAQAgAAAAIgAAAGRycy9kb3ducmV2LnhtbFBLAQIUABQAAAAIAIdO4kAzLwWeOwAA&#10;ADkAAAAQAAAAAAAAAAEAIAAAAAgBAABkcnMvc2hhcGV4bWwueG1sUEsFBgAAAAAGAAYAWwEAALID&#10;AAAAAA==&#10;">
                      <v:fill on="t" focussize="0,0"/>
                      <v:stroke on="f" joinstyle="miter"/>
                      <v:imagedata o:title=""/>
                      <o:lock v:ext="edit" aspectratio="f"/>
                      <v:textbox>
                        <w:txbxContent>
                          <w:p>
                            <w:pPr>
                              <w:jc w:val="center"/>
                              <w:rPr>
                                <w:rFonts w:hint="eastAsia" w:ascii="仿宋" w:hAnsi="仿宋" w:eastAsia="仿宋" w:cs="仿宋"/>
                                <w:sz w:val="24"/>
                                <w:szCs w:val="24"/>
                              </w:rPr>
                            </w:pPr>
                            <w:r>
                              <w:rPr>
                                <w:rFonts w:hint="eastAsia" w:ascii="仿宋" w:hAnsi="仿宋" w:eastAsia="仿宋" w:cs="仿宋"/>
                                <w:sz w:val="24"/>
                                <w:szCs w:val="24"/>
                              </w:rPr>
                              <w:t>协调</w:t>
                            </w:r>
                          </w:p>
                        </w:txbxContent>
                      </v:textbox>
                    </v:shape>
                    <v:shape id="文本框 56" o:spid="_x0000_s1026" o:spt="202" type="#_x0000_t202" style="position:absolute;left:11236;top:93278;height:465;width:897;" fillcolor="#FFFFFF" filled="t" stroked="f" coordsize="21600,21600" o:gfxdata="UEsDBAoAAAAAAIdO4kAAAAAAAAAAAAAAAAAEAAAAZHJzL1BLAwQUAAAACACHTuJAoKoRVrkAAADc&#10;AAAADwAAAGRycy9kb3ducmV2LnhtbEWPzQrCMBCE74LvEFbwIppa/K1GQUHx6s8DrM3aFptNaaLV&#10;tzeC4HGYmW+Y5fplSvGk2hWWFQwHEQji1OqCMwWX864/A+E8ssbSMil4k4P1qt1aYqJtw0d6nnwm&#10;AoRdggpy76tESpfmZNANbEUcvJutDfog60zqGpsAN6WMo2giDRYcFnKsaJtTej89jILboemN5811&#10;7y/T42iywWJ6tW+lup1htADh6eX/4V/7oBXEsxi+Z8IR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CqEVa5AAAA3AAA&#10;AA8AAAAAAAAAAQAgAAAAIgAAAGRycy9kb3ducmV2LnhtbFBLAQIUABQAAAAIAIdO4kAzLwWeOwAA&#10;ADkAAAAQAAAAAAAAAAEAIAAAAAgBAABkcnMvc2hhcGV4bWwueG1sUEsFBgAAAAAGAAYAWwEAALID&#10;AAAAAA==&#10;">
                      <v:fill on="t" focussize="0,0"/>
                      <v:stroke on="f" joinstyle="miter"/>
                      <v:imagedata o:title=""/>
                      <o:lock v:ext="edit" aspectratio="f"/>
                      <v:textbox>
                        <w:txbxContent>
                          <w:p>
                            <w:pPr>
                              <w:jc w:val="center"/>
                              <w:rPr>
                                <w:rFonts w:hint="eastAsia" w:ascii="仿宋" w:hAnsi="仿宋" w:eastAsia="仿宋" w:cs="仿宋"/>
                                <w:sz w:val="24"/>
                                <w:szCs w:val="24"/>
                              </w:rPr>
                            </w:pPr>
                            <w:r>
                              <w:rPr>
                                <w:rFonts w:hint="eastAsia" w:ascii="仿宋" w:hAnsi="仿宋" w:eastAsia="仿宋" w:cs="仿宋"/>
                                <w:sz w:val="24"/>
                                <w:szCs w:val="24"/>
                              </w:rPr>
                              <w:t>配合</w:t>
                            </w:r>
                          </w:p>
                        </w:txbxContent>
                      </v:textbox>
                    </v:shape>
                    <v:shape id="直接箭头连接符 54" o:spid="_x0000_s1026" o:spt="32" type="#_x0000_t32" style="position:absolute;left:11155;top:93171;flip:y;height:12;width:1100;" filled="f" stroked="t" coordsize="21600,21600" o:gfxdata="UEsDBAoAAAAAAIdO4kAAAAAAAAAAAAAAAAAEAAAAZHJzL1BLAwQUAAAACACHTuJAoFr5qb4AAADc&#10;AAAADwAAAGRycy9kb3ducmV2LnhtbEWPQWvCQBSE70L/w/IKXkQ3plhCdPWg1fYiYhrvj+wzCWbf&#10;huxWk3/fLRQ8DjPzDbPa9KYRd+pcbVnBfBaBIC6srrlUkH/vpwkI55E1NpZJwUAONuuX0QpTbR98&#10;pnvmSxEg7FJUUHnfplK6oiKDbmZb4uBdbWfQB9mVUnf4CHDTyDiK3qXBmsNChS1tKypu2Y9RsMtO&#10;i/1lkvfxUHwes0NyO/HwodT4dR4tQXjq/TP83/7SCuLkDf7OhCM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Fr5q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直接箭头连接符 54" o:spid="_x0000_s1026" o:spt="32" type="#_x0000_t32" style="position:absolute;left:11122;top:93291;flip:y;height:12;width:1120;" filled="f" stroked="t" coordsize="21600,21600" o:gfxdata="UEsDBAoAAAAAAIdO4kAAAAAAAAAAAAAAAAAEAAAAZHJzL1BLAwQUAAAACACHTuJAIguugr8AAADc&#10;AAAADwAAAGRycy9kb3ducmV2LnhtbEWPzWrDMBCE74W8g9hAbo0cQ4pxo4SSv/bigpNQelysje3E&#10;WhlLtd23rwqFHoeZ+YZZbUbTiJ46V1tWsJhHIIgLq2suFVzOh8cEhPPIGhvLpOCbHGzWk4cVptoO&#10;nFN/8qUIEHYpKqi8b1MpXVGRQTe3LXHwrrYz6IPsSqk7HALcNDKOoidpsOawUGFL24qK++nLKLhl&#10;12z/mesxodtL+/66+8i8Pio1my6iZxCeRv8f/mu/aQVxsoTfM+EIyP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ILroK/&#10;AAAA3AAAAA8AAAAAAAAAAQAgAAAAIgAAAGRycy9kb3ducmV2LnhtbFBLAQIUABQAAAAIAIdO4kAz&#10;LwWeOwAAADkAAAAQAAAAAAAAAAEAIAAAAA4BAABkcnMvc2hhcGV4bWwueG1sUEsFBgAAAAAGAAYA&#10;WwEAALgDAAAAAA==&#10;">
                      <v:fill on="f" focussize="0,0"/>
                      <v:stroke color="#000000" joinstyle="round" startarrow="block"/>
                      <v:imagedata o:title=""/>
                      <o:lock v:ext="edit" aspectratio="f"/>
                    </v:shape>
                  </v:group>
                  <v:shape id="文本框 53" o:spid="_x0000_s1026" o:spt="202" type="#_x0000_t202" style="position:absolute;left:9064;top:61915;height:469;width:2126;" fillcolor="#FFFFFF" filled="t" stroked="t" coordsize="21600,21600" o:gfxdata="UEsDBAoAAAAAAIdO4kAAAAAAAAAAAAAAAAAEAAAAZHJzL1BLAwQUAAAACACHTuJAsHgFOb4AAADb&#10;AAAADwAAAGRycy9kb3ducmV2LnhtbEWPT2sCMRTE7wW/Q3iCl6JZtay6Gj0UWvRW/6DXx+a5u7h5&#10;WZN01W9vCgWPw8z8hlms7qYWLTlfWVYwHCQgiHOrKy4UHPZf/SkIH5A11pZJwYM8rJadtwVm2t54&#10;S+0uFCJC2GeooAyhyaT0eUkG/cA2xNE7W2cwROkKqR3eItzUcpQkqTRYcVwosaHPkvLL7tcomH6s&#10;25PfjH+OeXquZ+F90n5fnVK97jCZgwh0D6/wf3utFaQz+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HgFO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突发环境事件</w:t>
                          </w:r>
                        </w:p>
                      </w:txbxContent>
                    </v:textbox>
                  </v:shape>
                </v:group>
                <v:shape id="_x0000_s1026" o:spid="_x0000_s1026" o:spt="32" type="#_x0000_t32" style="position:absolute;left:9348;top:62117;height:9;width:1019;" filled="f" stroked="t" coordsize="21600,21600" o:gfxdata="UEsDBAoAAAAAAIdO4kAAAAAAAAAAAAAAAAAEAAAAZHJzL1BLAwQUAAAACACHTuJAPYGWJb0AAADb&#10;AAAADwAAAGRycy9kb3ducmV2LnhtbEWPW4vCMBSE3xf8D+EIviyauoqXahR3F/Hy5uUHHJpjW9uc&#10;lCbe/r0RBB+HmfmGmc7vphRXql1uWUG3E4EgTqzOOVVwPCzbIxDOI2ssLZOCBzmYzxpfU4y1vfGO&#10;rnufigBhF6OCzPsqltIlGRl0HVsRB+9ka4M+yDqVusZbgJtS/kTRQBrMOSxkWNFfRkmxvxgFp/Nm&#10;8NtPztuVe5jv9XhR2P+yUKrV7EYTEJ7u/hN+t9dawbAHry/hB8jZ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gZYlvQAA&#10;ANs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shape id="_x0000_s1026" o:spid="_x0000_s1026" o:spt="32" type="#_x0000_t32" style="position:absolute;left:8280;top:62351;flip:x;height:937;width:5;" filled="f" stroked="t" coordsize="21600,21600" o:gfxdata="UEsDBAoAAAAAAIdO4kAAAAAAAAAAAAAAAAAEAAAAZHJzL1BLAwQUAAAACACHTuJAXfbQLb8AAADb&#10;AAAADwAAAGRycy9kb3ducmV2LnhtbEWPS2/CMBCE70j8B2uReisOHPoIOJF4RKrUHkrSA8clXpKI&#10;eB3ZLlB+fV2pEsfRzHyjWeZX04szOd9ZVjCbJiCIa6s7bhR8VcXjCwgfkDX2lknBD3nIs/Foiam2&#10;F97RuQyNiBD2KSpoQxhSKX3dkkE/tQNx9I7WGQxRukZqh5cIN72cJ8mTNNhxXGhxoHVL9an8NgqG&#10;/cf29r4qMBS3frP9JFdtyoNSD5NZsgAR6Bru4f/2m1bw/Ap/X+IPk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20C2/&#10;AAAA2wAAAA8AAAAAAAAAAQAgAAAAIgAAAGRycy9kb3ducmV2LnhtbFBLAQIUABQAAAAIAIdO4kAz&#10;LwWeOwAAADkAAAAQAAAAAAAAAAEAIAAAAA4BAABkcnMvc2hhcGV4bWwueG1sUEsFBgAAAAAGAAYA&#10;WwEAALgDAAAAAA==&#10;">
                  <v:fill on="f" focussize="0,0"/>
                  <v:stroke weight="0.5pt" color="#000000 [3213]" miterlimit="8" joinstyle="miter" endarrow="open"/>
                  <v:imagedata o:title=""/>
                  <o:lock v:ext="edit" aspectratio="f"/>
                </v:shape>
                <v:shape id="_x0000_s1026" o:spid="_x0000_s1026" o:spt="32" type="#_x0000_t32" style="position:absolute;left:8278;top:64038;flip:x;height:569;width:2;" filled="f" stroked="t" coordsize="21600,21600" o:gfxdata="UEsDBAoAAAAAAIdO4kAAAAAAAAAAAAAAAAAEAAAAZHJzL1BLAwQUAAAACACHTuJAllWsDL4AAADb&#10;AAAADwAAAGRycy9kb3ducmV2LnhtbEWPzWrDMBCE74W8g9hAbo3sHIJxrQTSxFBoD63dQ44ba2Ob&#10;WisjKT/101eFQo/DzHzDFNu7GcSVnO8tK0iXCQjixuqeWwWfdfmYgfABWeNgmRR8k4ftZvZQYK7t&#10;jT/oWoVWRAj7HBV0IYy5lL7pyKBf2pE4emfrDIYoXSu1w1uEm0GukmQtDfYcFzoc6bmj5qu6GAXj&#10;8e0wve5KDOU07A/v5Op9dVJqMU+TJxCB7uE//Nd+0QqyFH6/xB8gN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WsDL4A&#10;AADb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shape id="_x0000_s1026" o:spid="_x0000_s1026" o:spt="33" type="#_x0000_t33" style="position:absolute;left:10185;top:62109;height:1954;width:1154;rotation:5898240f;" filled="f" stroked="t" coordsize="21600,21600" o:gfxdata="UEsDBAoAAAAAAIdO4kAAAAAAAAAAAAAAAAAEAAAAZHJzL1BLAwQUAAAACACHTuJADxfuNb4AAADb&#10;AAAADwAAAGRycy9kb3ducmV2LnhtbEWPS2vDMBCE74H+B7GFXEIj54ExbpQcSgLpIdA4ufS2WFvZ&#10;jbUykvL691WgkOMwM98wi9XNduJCPrSOFUzGGQji2umWjYLjYfNWgAgRWWPnmBTcKcBq+TJYYKnd&#10;lfd0qaIRCcKhRAVNjH0pZagbshjGridO3o/zFmOS3kjt8ZrgtpPTLMulxZbTQoM9fTRUn6qzVSD9&#10;fI7r3N5Pxa/h73z09bnbGaWGr5PsHUSkW3yG/9tbraCYweNL+g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xfuNb4A&#10;AADb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group>
            </w:pict>
          </mc:Fallback>
        </mc:AlternateContent>
      </w:r>
    </w:p>
    <w:p>
      <w:pPr>
        <w:widowControl/>
        <w:spacing w:line="600" w:lineRule="exact"/>
        <w:ind w:firstLine="640" w:firstLineChars="200"/>
        <w:rPr>
          <w:rFonts w:hint="eastAsia" w:ascii="黑体" w:hAnsi="黑体" w:eastAsia="黑体" w:cs="黑体"/>
          <w:color w:val="auto"/>
          <w:sz w:val="32"/>
          <w:szCs w:val="32"/>
          <w:highlight w:val="none"/>
        </w:rPr>
      </w:pPr>
    </w:p>
    <w:p>
      <w:pPr>
        <w:widowControl/>
        <w:spacing w:line="600" w:lineRule="exact"/>
        <w:ind w:firstLine="640" w:firstLineChars="200"/>
        <w:rPr>
          <w:rFonts w:hint="eastAsia" w:ascii="黑体" w:hAnsi="黑体" w:eastAsia="黑体" w:cs="黑体"/>
          <w:color w:val="auto"/>
          <w:sz w:val="32"/>
          <w:szCs w:val="32"/>
          <w:highlight w:val="none"/>
        </w:rPr>
      </w:pPr>
    </w:p>
    <w:p>
      <w:pPr>
        <w:widowControl/>
        <w:spacing w:line="600" w:lineRule="exact"/>
        <w:ind w:firstLine="640" w:firstLineChars="200"/>
        <w:rPr>
          <w:rFonts w:hint="eastAsia" w:ascii="黑体" w:hAnsi="黑体" w:eastAsia="黑体" w:cs="黑体"/>
          <w:color w:val="auto"/>
          <w:sz w:val="32"/>
          <w:szCs w:val="32"/>
          <w:highlight w:val="none"/>
        </w:rPr>
      </w:pPr>
    </w:p>
    <w:p>
      <w:pPr>
        <w:widowControl/>
        <w:spacing w:line="600" w:lineRule="exact"/>
        <w:ind w:firstLine="640" w:firstLineChars="200"/>
        <w:rPr>
          <w:rFonts w:hint="eastAsia" w:ascii="黑体" w:hAnsi="黑体" w:eastAsia="黑体" w:cs="黑体"/>
          <w:color w:val="auto"/>
          <w:sz w:val="32"/>
          <w:szCs w:val="32"/>
          <w:highlight w:val="none"/>
        </w:rPr>
      </w:pPr>
    </w:p>
    <w:p>
      <w:pPr>
        <w:widowControl/>
        <w:spacing w:line="600" w:lineRule="exact"/>
        <w:ind w:firstLine="640" w:firstLineChars="200"/>
        <w:rPr>
          <w:rFonts w:hint="eastAsia" w:ascii="黑体" w:hAnsi="黑体" w:eastAsia="黑体" w:cs="黑体"/>
          <w:color w:val="auto"/>
          <w:sz w:val="32"/>
          <w:szCs w:val="32"/>
          <w:highlight w:val="none"/>
        </w:rPr>
      </w:pPr>
    </w:p>
    <w:p>
      <w:pPr>
        <w:widowControl/>
        <w:spacing w:line="600" w:lineRule="exact"/>
        <w:ind w:firstLine="640" w:firstLineChars="200"/>
        <w:rPr>
          <w:rFonts w:hint="eastAsia" w:ascii="黑体" w:hAnsi="黑体" w:eastAsia="黑体" w:cs="黑体"/>
          <w:color w:val="auto"/>
          <w:sz w:val="32"/>
          <w:szCs w:val="32"/>
          <w:highlight w:val="none"/>
        </w:rPr>
      </w:pPr>
    </w:p>
    <w:p>
      <w:pPr>
        <w:widowControl/>
        <w:spacing w:line="600" w:lineRule="exact"/>
        <w:ind w:firstLine="640" w:firstLineChars="200"/>
        <w:rPr>
          <w:rFonts w:hint="eastAsia" w:ascii="黑体" w:hAnsi="黑体" w:eastAsia="黑体" w:cs="黑体"/>
          <w:color w:val="auto"/>
          <w:sz w:val="32"/>
          <w:szCs w:val="32"/>
          <w:highlight w:val="none"/>
        </w:rPr>
      </w:pPr>
    </w:p>
    <w:p>
      <w:pPr>
        <w:pStyle w:val="2"/>
        <w:rPr>
          <w:rFonts w:hint="eastAsia"/>
        </w:rPr>
      </w:pPr>
    </w:p>
    <w:p>
      <w:pPr>
        <w:pStyle w:val="2"/>
        <w:jc w:val="center"/>
        <w:rPr>
          <w:rFonts w:hint="eastAsia" w:ascii="黑体" w:hAnsi="黑体" w:eastAsia="黑体" w:cs="黑体"/>
          <w:color w:val="auto"/>
          <w:sz w:val="32"/>
          <w:szCs w:val="32"/>
          <w:highlight w:val="none"/>
        </w:rPr>
      </w:pPr>
      <w:r>
        <w:rPr>
          <w:rFonts w:hint="eastAsia" w:ascii="仿宋_GB2312" w:hAnsi="Calibri" w:eastAsia="仿宋_GB2312" w:cs="Times New Roman"/>
          <w:sz w:val="32"/>
          <w:szCs w:val="32"/>
        </w:rPr>
        <w:t>图1 预案体系和关系图</w:t>
      </w:r>
    </w:p>
    <w:p>
      <w:pPr>
        <w:keepNext w:val="0"/>
        <w:keepLines w:val="0"/>
        <w:pageBreakBefore w:val="0"/>
        <w:widowControl/>
        <w:kinsoku/>
        <w:wordWrap/>
        <w:overflowPunct/>
        <w:topLinePunct w:val="0"/>
        <w:bidi w:val="0"/>
        <w:snapToGrid/>
        <w:spacing w:line="560" w:lineRule="exact"/>
        <w:ind w:firstLine="640" w:firstLineChars="200"/>
        <w:textAlignment w:val="auto"/>
        <w:outlineLvl w:val="0"/>
        <w:rPr>
          <w:rFonts w:hint="eastAsia" w:ascii="黑体" w:hAnsi="黑体" w:eastAsia="黑体" w:cs="黑体"/>
          <w:b/>
          <w:color w:val="auto"/>
          <w:sz w:val="32"/>
          <w:szCs w:val="32"/>
          <w:highlight w:val="none"/>
        </w:rPr>
      </w:pPr>
      <w:bookmarkStart w:id="19" w:name="_Toc23425"/>
      <w:r>
        <w:rPr>
          <w:rFonts w:hint="eastAsia" w:ascii="黑体" w:hAnsi="黑体" w:eastAsia="黑体" w:cs="黑体"/>
          <w:color w:val="auto"/>
          <w:sz w:val="32"/>
          <w:szCs w:val="32"/>
          <w:highlight w:val="none"/>
        </w:rPr>
        <w:t>二、</w:t>
      </w:r>
      <w:r>
        <w:rPr>
          <w:rFonts w:hint="eastAsia" w:ascii="黑体" w:hAnsi="黑体" w:eastAsia="黑体" w:cs="黑体"/>
          <w:bCs/>
          <w:color w:val="auto"/>
          <w:sz w:val="32"/>
          <w:szCs w:val="32"/>
          <w:highlight w:val="none"/>
        </w:rPr>
        <w:t>组织机构及职责</w:t>
      </w:r>
      <w:bookmarkEnd w:id="19"/>
    </w:p>
    <w:p>
      <w:pPr>
        <w:keepNext w:val="0"/>
        <w:keepLines w:val="0"/>
        <w:pageBreakBefore w:val="0"/>
        <w:widowControl/>
        <w:kinsoku/>
        <w:wordWrap/>
        <w:overflowPunct/>
        <w:topLinePunct w:val="0"/>
        <w:bidi w:val="0"/>
        <w:snapToGrid/>
        <w:spacing w:line="560" w:lineRule="exact"/>
        <w:ind w:firstLine="640" w:firstLineChars="200"/>
        <w:textAlignment w:val="auto"/>
        <w:rPr>
          <w:rFonts w:ascii="楷体_GB2312" w:hAnsi="楷体_GB2312" w:eastAsia="楷体_GB2312" w:cs="楷体_GB2312"/>
          <w:b/>
          <w:bCs/>
          <w:color w:val="auto"/>
          <w:sz w:val="32"/>
          <w:szCs w:val="32"/>
          <w:highlight w:val="none"/>
        </w:rPr>
      </w:pPr>
      <w:r>
        <w:rPr>
          <w:rFonts w:hint="eastAsia" w:ascii="仿宋_GB2312" w:hAnsi="仿宋_GB2312" w:eastAsia="仿宋_GB2312" w:cs="仿宋_GB2312"/>
          <w:color w:val="auto"/>
          <w:sz w:val="32"/>
          <w:szCs w:val="32"/>
          <w:highlight w:val="none"/>
          <w:lang w:val="en-US" w:eastAsia="zh-CN"/>
        </w:rPr>
        <w:t>黔东南</w:t>
      </w:r>
      <w:r>
        <w:rPr>
          <w:rFonts w:hint="eastAsia" w:ascii="仿宋_GB2312" w:hAnsi="仿宋_GB2312" w:eastAsia="仿宋_GB2312" w:cs="仿宋_GB2312"/>
          <w:color w:val="auto"/>
          <w:sz w:val="32"/>
          <w:szCs w:val="32"/>
          <w:highlight w:val="none"/>
        </w:rPr>
        <w:t>州、</w:t>
      </w:r>
      <w:r>
        <w:rPr>
          <w:rFonts w:hint="eastAsia" w:ascii="仿宋_GB2312" w:hAnsi="仿宋_GB2312" w:eastAsia="仿宋_GB2312" w:cs="仿宋_GB2312"/>
          <w:color w:val="auto"/>
          <w:sz w:val="32"/>
          <w:szCs w:val="32"/>
          <w:highlight w:val="none"/>
          <w:lang w:val="en-US" w:eastAsia="zh-CN"/>
        </w:rPr>
        <w:t>各</w:t>
      </w:r>
      <w:r>
        <w:rPr>
          <w:rFonts w:hint="eastAsia" w:ascii="仿宋_GB2312" w:hAnsi="仿宋_GB2312" w:eastAsia="仿宋_GB2312" w:cs="仿宋_GB2312"/>
          <w:color w:val="auto"/>
          <w:sz w:val="32"/>
          <w:szCs w:val="32"/>
          <w:highlight w:val="none"/>
          <w:lang w:eastAsia="zh-CN"/>
        </w:rPr>
        <w:t>县（市、开发区）人民政府（管委会）</w:t>
      </w:r>
      <w:r>
        <w:rPr>
          <w:rFonts w:hint="eastAsia" w:ascii="仿宋_GB2312" w:hAnsi="仿宋_GB2312" w:eastAsia="仿宋_GB2312" w:cs="仿宋_GB2312"/>
          <w:color w:val="auto"/>
          <w:sz w:val="32"/>
          <w:szCs w:val="32"/>
          <w:highlight w:val="none"/>
        </w:rPr>
        <w:t>设立突发环境事件应急指挥机构，负责本行政区域突发环境事件应对工作。</w:t>
      </w:r>
    </w:p>
    <w:p>
      <w:pPr>
        <w:keepNext w:val="0"/>
        <w:keepLines w:val="0"/>
        <w:pageBreakBefore w:val="0"/>
        <w:widowControl/>
        <w:kinsoku/>
        <w:wordWrap/>
        <w:overflowPunct/>
        <w:topLinePunct w:val="0"/>
        <w:bidi w:val="0"/>
        <w:snapToGrid/>
        <w:spacing w:line="560" w:lineRule="exact"/>
        <w:ind w:firstLine="643" w:firstLineChars="200"/>
        <w:textAlignment w:val="auto"/>
        <w:outlineLvl w:val="1"/>
        <w:rPr>
          <w:rFonts w:ascii="楷体_GB2312" w:hAnsi="楷体_GB2312" w:eastAsia="楷体_GB2312" w:cs="楷体_GB2312"/>
          <w:b/>
          <w:bCs/>
          <w:color w:val="auto"/>
          <w:sz w:val="32"/>
          <w:szCs w:val="32"/>
          <w:highlight w:val="none"/>
        </w:rPr>
      </w:pPr>
      <w:bookmarkStart w:id="20" w:name="_Toc17076"/>
      <w:r>
        <w:rPr>
          <w:rFonts w:hint="eastAsia" w:ascii="楷体_GB2312" w:hAnsi="楷体_GB2312" w:eastAsia="楷体_GB2312" w:cs="楷体_GB2312"/>
          <w:b/>
          <w:bCs/>
          <w:color w:val="auto"/>
          <w:sz w:val="32"/>
          <w:szCs w:val="32"/>
          <w:highlight w:val="none"/>
          <w:lang w:val="en-US" w:eastAsia="zh-CN"/>
        </w:rPr>
        <w:t xml:space="preserve">2.1 </w:t>
      </w:r>
      <w:r>
        <w:rPr>
          <w:rFonts w:hint="eastAsia" w:ascii="楷体_GB2312" w:hAnsi="楷体_GB2312" w:eastAsia="楷体_GB2312" w:cs="楷体_GB2312"/>
          <w:b/>
          <w:bCs/>
          <w:color w:val="auto"/>
          <w:sz w:val="32"/>
          <w:szCs w:val="32"/>
          <w:highlight w:val="none"/>
        </w:rPr>
        <w:t>州级层面指挥机构</w:t>
      </w:r>
      <w:bookmarkEnd w:id="20"/>
    </w:p>
    <w:p>
      <w:pPr>
        <w:keepNext w:val="0"/>
        <w:keepLines w:val="0"/>
        <w:pageBreakBefore w:val="0"/>
        <w:widowControl/>
        <w:kinsoku/>
        <w:wordWrap/>
        <w:overflowPunct/>
        <w:topLinePunct w:val="0"/>
        <w:bidi w:val="0"/>
        <w:snapToGrid/>
        <w:spacing w:line="560" w:lineRule="exact"/>
        <w:ind w:firstLine="643" w:firstLineChars="200"/>
        <w:textAlignment w:val="auto"/>
        <w:outlineLvl w:val="2"/>
        <w:rPr>
          <w:rFonts w:hint="eastAsia" w:ascii="仿宋_GB2312" w:hAnsi="宋体" w:eastAsia="仿宋_GB2312"/>
          <w:color w:val="auto"/>
          <w:sz w:val="32"/>
          <w:szCs w:val="32"/>
          <w:highlight w:val="none"/>
        </w:rPr>
      </w:pPr>
      <w:bookmarkStart w:id="21" w:name="_Toc28099"/>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1 黔东南</w:t>
      </w:r>
      <w:r>
        <w:rPr>
          <w:rFonts w:hint="eastAsia" w:ascii="仿宋_GB2312" w:hAnsi="仿宋_GB2312" w:eastAsia="仿宋_GB2312" w:cs="仿宋_GB2312"/>
          <w:b/>
          <w:bCs/>
          <w:color w:val="auto"/>
          <w:sz w:val="32"/>
          <w:szCs w:val="32"/>
          <w:highlight w:val="none"/>
        </w:rPr>
        <w:t>州生态环境安全应急指挥部</w:t>
      </w:r>
      <w:bookmarkEnd w:id="21"/>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olor w:val="0000FF"/>
          <w:sz w:val="32"/>
          <w:szCs w:val="32"/>
          <w:highlight w:val="none"/>
        </w:rPr>
      </w:pPr>
      <w:r>
        <w:rPr>
          <w:rFonts w:hint="eastAsia" w:ascii="仿宋_GB2312" w:hAnsi="宋体" w:eastAsia="仿宋_GB2312"/>
          <w:color w:val="auto"/>
          <w:sz w:val="32"/>
          <w:szCs w:val="32"/>
          <w:highlight w:val="none"/>
          <w:lang w:val="en-US" w:eastAsia="zh-CN"/>
        </w:rPr>
        <w:t>黔东南</w:t>
      </w:r>
      <w:r>
        <w:rPr>
          <w:rFonts w:hint="eastAsia" w:ascii="仿宋_GB2312" w:hAnsi="宋体" w:eastAsia="仿宋_GB2312"/>
          <w:color w:val="auto"/>
          <w:sz w:val="32"/>
          <w:szCs w:val="32"/>
          <w:highlight w:val="none"/>
        </w:rPr>
        <w:t>州人民政府设立</w:t>
      </w:r>
      <w:r>
        <w:rPr>
          <w:rFonts w:hint="eastAsia" w:ascii="仿宋_GB2312" w:hAnsi="宋体" w:eastAsia="仿宋_GB2312"/>
          <w:color w:val="auto"/>
          <w:sz w:val="32"/>
          <w:szCs w:val="32"/>
          <w:highlight w:val="none"/>
          <w:lang w:val="en-US" w:eastAsia="zh-CN"/>
        </w:rPr>
        <w:t>黔东南</w:t>
      </w:r>
      <w:r>
        <w:rPr>
          <w:rFonts w:hint="eastAsia" w:ascii="仿宋_GB2312" w:hAnsi="宋体" w:eastAsia="仿宋_GB2312"/>
          <w:color w:val="auto"/>
          <w:sz w:val="32"/>
          <w:szCs w:val="32"/>
          <w:highlight w:val="none"/>
        </w:rPr>
        <w:t>州生态环境安全应急指挥部，指挥长由州人民政府分管生态环境工作</w:t>
      </w:r>
      <w:r>
        <w:rPr>
          <w:rFonts w:hint="eastAsia" w:ascii="仿宋_GB2312" w:hAnsi="宋体" w:eastAsia="仿宋_GB2312"/>
          <w:color w:val="auto"/>
          <w:sz w:val="32"/>
          <w:szCs w:val="32"/>
          <w:highlight w:val="none"/>
          <w:lang w:val="en-US" w:eastAsia="zh-CN"/>
        </w:rPr>
        <w:t>的</w:t>
      </w:r>
      <w:r>
        <w:rPr>
          <w:rFonts w:hint="eastAsia" w:ascii="仿宋_GB2312" w:hAnsi="宋体" w:eastAsia="仿宋_GB2312"/>
          <w:color w:val="auto"/>
          <w:sz w:val="32"/>
          <w:szCs w:val="32"/>
          <w:highlight w:val="none"/>
        </w:rPr>
        <w:t>副州长担任，副指挥长由州人民政府分管副秘书长、州生态环境局局长和州应急管理局分管副局长担任。</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州生态环境安全应急指挥部</w:t>
      </w:r>
      <w:r>
        <w:rPr>
          <w:rFonts w:hint="eastAsia" w:ascii="仿宋_GB2312" w:hAnsi="宋体" w:eastAsia="仿宋_GB2312"/>
          <w:color w:val="auto"/>
          <w:sz w:val="32"/>
          <w:szCs w:val="32"/>
          <w:highlight w:val="none"/>
          <w:lang w:val="en-US" w:eastAsia="zh-CN"/>
        </w:rPr>
        <w:t>主要</w:t>
      </w:r>
      <w:r>
        <w:rPr>
          <w:rFonts w:hint="eastAsia" w:ascii="仿宋_GB2312" w:hAnsi="宋体" w:eastAsia="仿宋_GB2312"/>
          <w:color w:val="auto"/>
          <w:sz w:val="32"/>
          <w:szCs w:val="32"/>
          <w:highlight w:val="none"/>
        </w:rPr>
        <w:t>工作职责：</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在</w:t>
      </w:r>
      <w:r>
        <w:rPr>
          <w:rFonts w:hint="eastAsia" w:ascii="仿宋_GB2312" w:hAnsi="宋体" w:eastAsia="仿宋_GB2312"/>
          <w:color w:val="auto"/>
          <w:sz w:val="32"/>
          <w:szCs w:val="32"/>
          <w:highlight w:val="none"/>
          <w:lang w:val="en-US" w:eastAsia="zh-CN"/>
        </w:rPr>
        <w:t>上级</w:t>
      </w:r>
      <w:r>
        <w:rPr>
          <w:rFonts w:hint="eastAsia" w:ascii="仿宋_GB2312" w:hAnsi="宋体" w:eastAsia="仿宋_GB2312"/>
          <w:color w:val="auto"/>
          <w:sz w:val="32"/>
          <w:szCs w:val="32"/>
          <w:highlight w:val="none"/>
        </w:rPr>
        <w:t>指挥部统一领导、指挥协调下，负责全州生态环境应急管理有关工作；</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配合做好特别重大、重大突发环境事件应急处置工作；</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3.组织协调做好较大、一般突发环境事件应急处置工作</w:t>
      </w:r>
      <w:r>
        <w:rPr>
          <w:rFonts w:hint="eastAsia" w:ascii="仿宋_GB2312" w:hAnsi="宋体" w:eastAsia="仿宋_GB2312"/>
          <w:color w:val="auto"/>
          <w:sz w:val="32"/>
          <w:szCs w:val="32"/>
          <w:highlight w:val="none"/>
        </w:rPr>
        <w:t>；</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4.</w:t>
      </w:r>
      <w:r>
        <w:rPr>
          <w:rFonts w:hint="eastAsia" w:ascii="仿宋_GB2312" w:hAnsi="宋体" w:eastAsia="仿宋_GB2312"/>
          <w:color w:val="auto"/>
          <w:sz w:val="32"/>
          <w:szCs w:val="32"/>
          <w:highlight w:val="none"/>
        </w:rPr>
        <w:t>查明事故原因，确定应急救援处置工作方案；</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向上级指挥部报送相关信息；</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6.承担</w:t>
      </w:r>
      <w:r>
        <w:rPr>
          <w:rFonts w:hint="eastAsia" w:ascii="仿宋_GB2312" w:hAnsi="宋体" w:eastAsia="仿宋_GB2312"/>
          <w:color w:val="auto"/>
          <w:sz w:val="32"/>
          <w:szCs w:val="32"/>
          <w:highlight w:val="none"/>
        </w:rPr>
        <w:t>州委、州政府及</w:t>
      </w:r>
      <w:r>
        <w:rPr>
          <w:rFonts w:hint="eastAsia" w:ascii="仿宋_GB2312" w:hAnsi="宋体" w:eastAsia="仿宋_GB2312"/>
          <w:color w:val="auto"/>
          <w:sz w:val="32"/>
          <w:szCs w:val="32"/>
          <w:highlight w:val="none"/>
          <w:lang w:val="en-US" w:eastAsia="zh-CN"/>
        </w:rPr>
        <w:t>上级</w:t>
      </w:r>
      <w:r>
        <w:rPr>
          <w:rFonts w:hint="eastAsia" w:ascii="仿宋_GB2312" w:hAnsi="宋体" w:eastAsia="仿宋_GB2312"/>
          <w:color w:val="auto"/>
          <w:sz w:val="32"/>
          <w:szCs w:val="32"/>
          <w:highlight w:val="none"/>
        </w:rPr>
        <w:t>指挥部安排的其他工作。</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成员单位主要</w:t>
      </w:r>
      <w:r>
        <w:rPr>
          <w:rFonts w:hint="eastAsia" w:ascii="仿宋_GB2312" w:hAnsi="宋体" w:eastAsia="仿宋_GB2312"/>
          <w:color w:val="auto"/>
          <w:sz w:val="32"/>
          <w:szCs w:val="32"/>
          <w:highlight w:val="none"/>
          <w:lang w:val="en-US" w:eastAsia="zh-CN"/>
        </w:rPr>
        <w:t>由</w:t>
      </w:r>
      <w:r>
        <w:rPr>
          <w:rFonts w:hint="eastAsia" w:ascii="仿宋_GB2312" w:hAnsi="宋体" w:eastAsia="仿宋_GB2312"/>
          <w:color w:val="auto"/>
          <w:sz w:val="32"/>
          <w:szCs w:val="32"/>
          <w:highlight w:val="none"/>
        </w:rPr>
        <w:t>州生态环境局、州应急管理局、州委政法委、州发展改革委、州教育局、州工业和信息化局、州公安局、州民政局、州财政局、州住房城乡建设局、州交通运输局、州农业农村局、州水务局、州自然资源局、</w:t>
      </w:r>
      <w:r>
        <w:rPr>
          <w:rFonts w:hint="eastAsia" w:ascii="仿宋_GB2312" w:hAnsi="仿宋_GB2312" w:eastAsia="仿宋_GB2312" w:cs="仿宋_GB2312"/>
          <w:color w:val="auto"/>
          <w:sz w:val="32"/>
          <w:szCs w:val="32"/>
          <w:highlight w:val="none"/>
        </w:rPr>
        <w:t>州商务局</w:t>
      </w:r>
      <w:r>
        <w:rPr>
          <w:rFonts w:hint="eastAsia" w:ascii="仿宋_GB2312" w:hAnsi="宋体" w:eastAsia="仿宋_GB2312"/>
          <w:color w:val="auto"/>
          <w:sz w:val="32"/>
          <w:szCs w:val="32"/>
          <w:highlight w:val="none"/>
        </w:rPr>
        <w:t>、州卫生健康局、州林业局、州文体广电旅游局、州委宣传部、州气象局、州水文水资源局、凯里供电局、凯里军分区、州消防救援支队、州武警支队、移动黔东南分公司、电信黔东南分公司、联通黔东南分公司、涉及地区人民政府及相关部门</w:t>
      </w:r>
      <w:r>
        <w:rPr>
          <w:rFonts w:hint="eastAsia" w:ascii="仿宋_GB2312" w:hAnsi="宋体" w:eastAsia="仿宋_GB2312"/>
          <w:color w:val="auto"/>
          <w:sz w:val="32"/>
          <w:szCs w:val="32"/>
          <w:highlight w:val="none"/>
          <w:lang w:val="en-US" w:eastAsia="zh-CN"/>
        </w:rPr>
        <w:t>组成</w:t>
      </w:r>
      <w:r>
        <w:rPr>
          <w:rFonts w:hint="eastAsia" w:ascii="仿宋_GB2312" w:hAnsi="宋体" w:eastAsia="仿宋_GB2312"/>
          <w:color w:val="auto"/>
          <w:sz w:val="32"/>
          <w:szCs w:val="32"/>
          <w:highlight w:val="none"/>
        </w:rPr>
        <w:t>，具体责任人由以上有关部门负责人担任。</w:t>
      </w:r>
      <w:r>
        <w:rPr>
          <w:rFonts w:hint="eastAsia" w:ascii="仿宋_GB2312" w:hAnsi="宋体" w:eastAsia="仿宋_GB2312"/>
          <w:color w:val="auto"/>
          <w:sz w:val="32"/>
          <w:szCs w:val="32"/>
          <w:highlight w:val="none"/>
          <w:lang w:val="en-US" w:eastAsia="zh-CN"/>
        </w:rPr>
        <w:t>各成员单位</w:t>
      </w:r>
      <w:r>
        <w:rPr>
          <w:rFonts w:hint="eastAsia" w:ascii="仿宋_GB2312" w:hAnsi="宋体" w:eastAsia="仿宋_GB2312"/>
          <w:color w:val="auto"/>
          <w:sz w:val="32"/>
          <w:szCs w:val="32"/>
          <w:highlight w:val="none"/>
        </w:rPr>
        <w:t>根据应急响应级别，按照州生态环境安全应急指挥部统一部署和各自</w:t>
      </w:r>
      <w:r>
        <w:rPr>
          <w:rFonts w:hint="eastAsia" w:ascii="仿宋_GB2312" w:hAnsi="宋体" w:eastAsia="仿宋_GB2312"/>
          <w:color w:val="auto"/>
          <w:sz w:val="32"/>
          <w:szCs w:val="32"/>
          <w:highlight w:val="none"/>
          <w:lang w:val="en-US" w:eastAsia="zh-CN"/>
        </w:rPr>
        <w:t>所属</w:t>
      </w:r>
      <w:r>
        <w:rPr>
          <w:rFonts w:hint="eastAsia" w:ascii="仿宋_GB2312" w:hAnsi="宋体" w:eastAsia="仿宋_GB2312"/>
          <w:color w:val="auto"/>
          <w:sz w:val="32"/>
          <w:szCs w:val="32"/>
          <w:highlight w:val="none"/>
        </w:rPr>
        <w:t>职责</w:t>
      </w:r>
      <w:r>
        <w:rPr>
          <w:rFonts w:hint="eastAsia" w:ascii="仿宋_GB2312" w:hAnsi="宋体" w:eastAsia="仿宋_GB2312"/>
          <w:color w:val="auto"/>
          <w:sz w:val="32"/>
          <w:szCs w:val="32"/>
          <w:highlight w:val="none"/>
          <w:lang w:val="en-US" w:eastAsia="zh-CN"/>
        </w:rPr>
        <w:t>内容</w:t>
      </w:r>
      <w:r>
        <w:rPr>
          <w:rFonts w:hint="eastAsia" w:ascii="仿宋_GB2312" w:hAnsi="宋体" w:eastAsia="仿宋_GB2312"/>
          <w:color w:val="auto"/>
          <w:sz w:val="32"/>
          <w:szCs w:val="32"/>
          <w:highlight w:val="none"/>
        </w:rPr>
        <w:t>，配合做好突发环境事件应对处置工作。</w:t>
      </w:r>
    </w:p>
    <w:p>
      <w:pPr>
        <w:pStyle w:val="6"/>
        <w:keepNext w:val="0"/>
        <w:keepLines w:val="0"/>
        <w:pageBreakBefore w:val="0"/>
        <w:widowControl/>
        <w:kinsoku/>
        <w:wordWrap/>
        <w:overflowPunct/>
        <w:topLinePunct w:val="0"/>
        <w:bidi w:val="0"/>
        <w:snapToGrid/>
        <w:spacing w:line="560" w:lineRule="exact"/>
        <w:ind w:firstLine="640"/>
        <w:textAlignment w:val="auto"/>
        <w:outlineLvl w:val="2"/>
        <w:rPr>
          <w:rFonts w:hint="eastAsia" w:ascii="仿宋_GB2312" w:eastAsia="仿宋_GB2312"/>
          <w:color w:val="auto"/>
          <w:sz w:val="32"/>
          <w:szCs w:val="32"/>
          <w:highlight w:val="none"/>
          <w:lang w:eastAsia="zh-CN"/>
        </w:rPr>
      </w:pPr>
      <w:bookmarkStart w:id="22" w:name="_Toc23251"/>
      <w:r>
        <w:rPr>
          <w:rFonts w:hint="eastAsia" w:ascii="仿宋_GB2312" w:hAnsi="仿宋_GB2312" w:eastAsia="仿宋_GB2312" w:cs="仿宋_GB2312"/>
          <w:b/>
          <w:bCs/>
          <w:color w:val="auto"/>
          <w:sz w:val="32"/>
          <w:szCs w:val="32"/>
          <w:highlight w:val="none"/>
          <w:lang w:val="en-US" w:eastAsia="zh-CN"/>
        </w:rPr>
        <w:t>2.1.2 黔东南</w:t>
      </w:r>
      <w:r>
        <w:rPr>
          <w:rFonts w:hint="eastAsia" w:ascii="仿宋_GB2312" w:hAnsi="仿宋_GB2312" w:eastAsia="仿宋_GB2312" w:cs="仿宋_GB2312"/>
          <w:b/>
          <w:bCs/>
          <w:color w:val="auto"/>
          <w:sz w:val="32"/>
          <w:szCs w:val="32"/>
          <w:highlight w:val="none"/>
          <w:lang w:eastAsia="zh-CN"/>
        </w:rPr>
        <w:t>州生态环境安全应急指挥部办公室</w:t>
      </w:r>
      <w:bookmarkEnd w:id="22"/>
      <w:r>
        <w:rPr>
          <w:rFonts w:hint="eastAsia" w:ascii="楷体_GB2312" w:hAnsi="楷体_GB2312" w:eastAsia="楷体_GB2312" w:cs="楷体_GB2312"/>
          <w:b/>
          <w:bCs/>
          <w:color w:val="auto"/>
          <w:sz w:val="32"/>
          <w:szCs w:val="32"/>
          <w:highlight w:val="none"/>
          <w:lang w:eastAsia="zh-CN"/>
        </w:rPr>
        <w:t xml:space="preserve"> </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黔东南</w:t>
      </w:r>
      <w:r>
        <w:rPr>
          <w:rFonts w:hint="eastAsia" w:ascii="仿宋_GB2312" w:hAnsi="宋体" w:eastAsia="仿宋_GB2312"/>
          <w:color w:val="auto"/>
          <w:sz w:val="32"/>
          <w:szCs w:val="32"/>
          <w:highlight w:val="none"/>
        </w:rPr>
        <w:t>州生态环境安全应急指挥部下设办公室，办公室</w:t>
      </w:r>
      <w:r>
        <w:rPr>
          <w:rFonts w:hint="eastAsia" w:ascii="仿宋_GB2312" w:hAnsi="宋体" w:eastAsia="仿宋_GB2312"/>
          <w:color w:val="auto"/>
          <w:sz w:val="32"/>
          <w:szCs w:val="32"/>
          <w:highlight w:val="none"/>
          <w:lang w:val="en-US" w:eastAsia="zh-CN"/>
        </w:rPr>
        <w:t>设立于</w:t>
      </w:r>
      <w:r>
        <w:rPr>
          <w:rFonts w:hint="eastAsia" w:ascii="仿宋_GB2312" w:hAnsi="宋体" w:eastAsia="仿宋_GB2312"/>
          <w:color w:val="auto"/>
          <w:sz w:val="32"/>
          <w:szCs w:val="32"/>
          <w:highlight w:val="none"/>
        </w:rPr>
        <w:t>州生态环境局，负责州生态环境安全应急指挥部</w:t>
      </w:r>
      <w:r>
        <w:rPr>
          <w:rFonts w:hint="eastAsia" w:ascii="仿宋_GB2312" w:hAnsi="宋体" w:eastAsia="仿宋_GB2312"/>
          <w:color w:val="auto"/>
          <w:sz w:val="32"/>
          <w:szCs w:val="32"/>
          <w:highlight w:val="none"/>
          <w:lang w:val="en-US" w:eastAsia="zh-CN"/>
        </w:rPr>
        <w:t>相关</w:t>
      </w:r>
      <w:r>
        <w:rPr>
          <w:rFonts w:hint="eastAsia" w:ascii="仿宋_GB2312" w:hAnsi="宋体" w:eastAsia="仿宋_GB2312"/>
          <w:color w:val="auto"/>
          <w:sz w:val="32"/>
          <w:szCs w:val="32"/>
          <w:highlight w:val="none"/>
        </w:rPr>
        <w:t>工作，办公室主任由州生态环境局局长兼任。</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黔东南</w:t>
      </w:r>
      <w:r>
        <w:rPr>
          <w:rFonts w:hint="eastAsia" w:ascii="仿宋_GB2312" w:hAnsi="宋体" w:eastAsia="仿宋_GB2312"/>
          <w:color w:val="auto"/>
          <w:sz w:val="32"/>
          <w:szCs w:val="32"/>
          <w:highlight w:val="none"/>
        </w:rPr>
        <w:t>州生态环境安全应急指挥部办公室主要</w:t>
      </w:r>
      <w:r>
        <w:rPr>
          <w:rFonts w:hint="eastAsia" w:ascii="仿宋_GB2312" w:hAnsi="宋体" w:eastAsia="仿宋_GB2312"/>
          <w:color w:val="auto"/>
          <w:sz w:val="32"/>
          <w:szCs w:val="32"/>
          <w:highlight w:val="none"/>
          <w:lang w:val="en-US" w:eastAsia="zh-CN"/>
        </w:rPr>
        <w:t>工作</w:t>
      </w:r>
      <w:r>
        <w:rPr>
          <w:rFonts w:hint="eastAsia" w:ascii="仿宋_GB2312" w:hAnsi="宋体" w:eastAsia="仿宋_GB2312"/>
          <w:color w:val="auto"/>
          <w:sz w:val="32"/>
          <w:szCs w:val="32"/>
          <w:highlight w:val="none"/>
        </w:rPr>
        <w:t>职责：</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贯彻落实州生态环境安全应急指挥部和州委、州政府关于环境应急工作的部署和要求，具体负责突发环境事件的综合协调应对工作</w:t>
      </w:r>
      <w:r>
        <w:rPr>
          <w:rFonts w:hint="eastAsia" w:ascii="仿宋_GB2312" w:hAnsi="宋体" w:eastAsia="仿宋_GB2312"/>
          <w:color w:val="auto"/>
          <w:sz w:val="32"/>
          <w:szCs w:val="32"/>
          <w:highlight w:val="none"/>
          <w:lang w:eastAsia="zh-CN"/>
        </w:rPr>
        <w:t>；</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负责</w:t>
      </w:r>
      <w:r>
        <w:rPr>
          <w:rFonts w:hint="eastAsia" w:ascii="仿宋_GB2312" w:hAnsi="宋体" w:eastAsia="仿宋_GB2312"/>
          <w:color w:val="auto"/>
          <w:sz w:val="32"/>
          <w:szCs w:val="32"/>
          <w:highlight w:val="none"/>
          <w:lang w:val="en-US" w:eastAsia="zh-CN"/>
        </w:rPr>
        <w:t>黔东南州</w:t>
      </w:r>
      <w:r>
        <w:rPr>
          <w:rFonts w:hint="eastAsia" w:ascii="仿宋_GB2312" w:hAnsi="宋体" w:eastAsia="仿宋_GB2312"/>
          <w:color w:val="auto"/>
          <w:sz w:val="32"/>
          <w:szCs w:val="32"/>
          <w:highlight w:val="none"/>
        </w:rPr>
        <w:t>突发环境事件应急预案的编制、修订、演练、评估工作；</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配合做好</w:t>
      </w:r>
      <w:r>
        <w:rPr>
          <w:rFonts w:hint="eastAsia" w:ascii="仿宋_GB2312" w:hAnsi="宋体" w:eastAsia="仿宋_GB2312"/>
          <w:color w:val="auto"/>
          <w:sz w:val="32"/>
          <w:szCs w:val="32"/>
          <w:highlight w:val="none"/>
          <w:lang w:val="en-US" w:eastAsia="zh-CN"/>
        </w:rPr>
        <w:t>重特大突发环境事件</w:t>
      </w:r>
      <w:r>
        <w:rPr>
          <w:rFonts w:hint="eastAsia" w:ascii="仿宋_GB2312" w:hAnsi="宋体" w:eastAsia="仿宋_GB2312"/>
          <w:color w:val="auto"/>
          <w:sz w:val="32"/>
          <w:szCs w:val="32"/>
          <w:highlight w:val="none"/>
        </w:rPr>
        <w:t>或县（市</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开发区</w:t>
      </w:r>
      <w:r>
        <w:rPr>
          <w:rFonts w:hint="eastAsia" w:ascii="仿宋_GB2312" w:hAnsi="宋体" w:eastAsia="仿宋_GB2312"/>
          <w:color w:val="auto"/>
          <w:sz w:val="32"/>
          <w:szCs w:val="32"/>
          <w:highlight w:val="none"/>
        </w:rPr>
        <w:t>）人民政府</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管委会</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提出请求需要州级层面协调解决的突发环境事件应急处置工作；</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4.</w:t>
      </w:r>
      <w:r>
        <w:rPr>
          <w:rFonts w:hint="eastAsia" w:ascii="仿宋_GB2312" w:hAnsi="宋体" w:eastAsia="仿宋_GB2312"/>
          <w:color w:val="auto"/>
          <w:sz w:val="32"/>
          <w:szCs w:val="32"/>
          <w:highlight w:val="none"/>
        </w:rPr>
        <w:t>负责接收、汇总、研判、报告突发环境事件有关信息，协调各有关部门开展生态环境应急行动；</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5.传达指挥部指令指示，</w:t>
      </w:r>
      <w:r>
        <w:rPr>
          <w:rFonts w:hint="eastAsia" w:ascii="仿宋_GB2312" w:hAnsi="宋体" w:eastAsia="仿宋_GB2312"/>
          <w:color w:val="auto"/>
          <w:sz w:val="32"/>
          <w:szCs w:val="32"/>
          <w:highlight w:val="none"/>
        </w:rPr>
        <w:t>指导</w:t>
      </w:r>
      <w:r>
        <w:rPr>
          <w:rFonts w:hint="eastAsia" w:ascii="仿宋_GB2312" w:hAnsi="宋体" w:eastAsia="仿宋_GB2312"/>
          <w:color w:val="auto"/>
          <w:sz w:val="32"/>
          <w:szCs w:val="32"/>
          <w:highlight w:val="none"/>
          <w:lang w:eastAsia="zh-CN"/>
        </w:rPr>
        <w:t>县（市、开发区）人民政府（管委会）</w:t>
      </w:r>
      <w:r>
        <w:rPr>
          <w:rFonts w:hint="eastAsia" w:ascii="仿宋_GB2312" w:hAnsi="宋体" w:eastAsia="仿宋_GB2312"/>
          <w:color w:val="auto"/>
          <w:sz w:val="32"/>
          <w:szCs w:val="32"/>
          <w:highlight w:val="none"/>
          <w:lang w:val="en-US" w:eastAsia="zh-CN"/>
        </w:rPr>
        <w:t>及有关</w:t>
      </w:r>
      <w:r>
        <w:rPr>
          <w:rFonts w:hint="eastAsia" w:ascii="仿宋_GB2312" w:hAnsi="宋体" w:eastAsia="仿宋_GB2312"/>
          <w:color w:val="auto"/>
          <w:sz w:val="32"/>
          <w:szCs w:val="32"/>
          <w:highlight w:val="none"/>
          <w:lang w:eastAsia="zh-CN"/>
        </w:rPr>
        <w:t>部门落实较大或一般突发环境事件应急处置工作</w:t>
      </w:r>
      <w:r>
        <w:rPr>
          <w:rFonts w:hint="eastAsia" w:ascii="仿宋_GB2312" w:hAnsi="宋体" w:eastAsia="仿宋_GB2312"/>
          <w:color w:val="auto"/>
          <w:sz w:val="32"/>
          <w:szCs w:val="32"/>
          <w:highlight w:val="none"/>
        </w:rPr>
        <w:t>；</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6.</w:t>
      </w:r>
      <w:r>
        <w:rPr>
          <w:rFonts w:hint="eastAsia" w:ascii="仿宋_GB2312" w:hAnsi="宋体" w:eastAsia="仿宋_GB2312"/>
          <w:color w:val="auto"/>
          <w:sz w:val="32"/>
          <w:szCs w:val="32"/>
          <w:highlight w:val="none"/>
        </w:rPr>
        <w:t>完成州委、州政府及指挥部安排的其他工作。</w:t>
      </w:r>
    </w:p>
    <w:p>
      <w:pPr>
        <w:pStyle w:val="6"/>
        <w:keepNext w:val="0"/>
        <w:keepLines w:val="0"/>
        <w:pageBreakBefore w:val="0"/>
        <w:widowControl/>
        <w:kinsoku/>
        <w:wordWrap/>
        <w:overflowPunct/>
        <w:topLinePunct w:val="0"/>
        <w:bidi w:val="0"/>
        <w:snapToGrid/>
        <w:spacing w:line="560" w:lineRule="exact"/>
        <w:ind w:firstLine="640"/>
        <w:textAlignment w:val="auto"/>
        <w:outlineLvl w:val="2"/>
        <w:rPr>
          <w:rFonts w:hint="eastAsia" w:ascii="仿宋_GB2312" w:hAnsi="仿宋_GB2312" w:eastAsia="仿宋_GB2312" w:cs="仿宋_GB2312"/>
          <w:b/>
          <w:bCs/>
          <w:color w:val="auto"/>
          <w:sz w:val="32"/>
          <w:szCs w:val="32"/>
          <w:highlight w:val="none"/>
          <w:lang w:val="en-US" w:eastAsia="zh-CN"/>
        </w:rPr>
      </w:pPr>
      <w:bookmarkStart w:id="23" w:name="_Toc22618"/>
      <w:r>
        <w:rPr>
          <w:rFonts w:hint="eastAsia" w:ascii="仿宋_GB2312" w:hAnsi="仿宋_GB2312" w:eastAsia="仿宋_GB2312" w:cs="仿宋_GB2312"/>
          <w:b/>
          <w:bCs/>
          <w:color w:val="auto"/>
          <w:sz w:val="32"/>
          <w:szCs w:val="32"/>
          <w:highlight w:val="none"/>
          <w:lang w:val="en-US" w:eastAsia="zh-CN"/>
        </w:rPr>
        <w:t>2.1.3 各成员单位及其主要工作职责</w:t>
      </w:r>
      <w:bookmarkEnd w:id="23"/>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宋体" w:eastAsia="仿宋_GB2312" w:cs="Times New Roman"/>
          <w:color w:val="auto"/>
          <w:sz w:val="32"/>
          <w:szCs w:val="32"/>
          <w:highlight w:val="none"/>
        </w:rPr>
        <w:t>（1）州生态环境局</w:t>
      </w:r>
      <w:r>
        <w:rPr>
          <w:rFonts w:hint="eastAsia" w:ascii="仿宋_GB2312" w:hAnsi="宋体"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rPr>
        <w:t>负责突发环境事件的接警，并及时报告</w:t>
      </w:r>
      <w:r>
        <w:rPr>
          <w:rFonts w:hint="eastAsia" w:ascii="仿宋_GB2312" w:hAnsi="宋体" w:eastAsia="仿宋_GB2312" w:cs="Times New Roman"/>
          <w:color w:val="auto"/>
          <w:sz w:val="32"/>
          <w:szCs w:val="32"/>
          <w:highlight w:val="none"/>
        </w:rPr>
        <w:t>州生态环境安全应急指挥部</w:t>
      </w:r>
      <w:r>
        <w:rPr>
          <w:rFonts w:hint="eastAsia" w:ascii="仿宋_GB2312" w:hAnsi="宋体"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rPr>
        <w:t>负责组织开展突发环境事件应急监测，确定危害范围和程度；负责配合、指导</w:t>
      </w:r>
      <w:r>
        <w:rPr>
          <w:rFonts w:hint="eastAsia" w:ascii="仿宋_GB2312" w:hAnsi="仿宋_GB2312" w:eastAsia="仿宋_GB2312" w:cs="仿宋_GB2312"/>
          <w:color w:val="auto"/>
          <w:sz w:val="32"/>
          <w:szCs w:val="32"/>
          <w:highlight w:val="none"/>
          <w:lang w:eastAsia="zh-CN"/>
        </w:rPr>
        <w:t>各县（市、开发区）人民政府（管委会）</w:t>
      </w:r>
      <w:r>
        <w:rPr>
          <w:rFonts w:hint="eastAsia" w:ascii="仿宋_GB2312" w:hAnsi="仿宋_GB2312" w:eastAsia="仿宋_GB2312" w:cs="仿宋_GB2312"/>
          <w:color w:val="auto"/>
          <w:sz w:val="32"/>
          <w:szCs w:val="32"/>
          <w:highlight w:val="none"/>
        </w:rPr>
        <w:t>突发环境事件的应急处置工作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会同有关部门负责较大以上突发环境事件的调查处理；配合做好因其他突发事件引发的次生突发环境事件的应对工作。</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仿宋_GB2312" w:hAnsi="仿宋_GB2312" w:eastAsia="仿宋_GB2312" w:cs="仿宋_GB2312"/>
          <w:color w:val="auto"/>
          <w:kern w:val="2"/>
          <w:sz w:val="32"/>
          <w:szCs w:val="32"/>
          <w:highlight w:val="none"/>
          <w:lang w:val="en-US" w:eastAsia="zh-CN" w:bidi="en-US"/>
        </w:rPr>
        <w:t>（2）州应急管理局：参与全州安全生产、自然灾害类引发的突发环境事件应急救援处置和救灾救助工作，综合协调应急救援力量开展现场处置；负责指导被困人员的抢救工作，配合处置危险化学品泄漏、火灾等事件；负责指导应急避难设施的建设。</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仿宋_GB2312" w:hAnsi="宋体" w:eastAsia="仿宋_GB2312" w:cs="Times New Roman"/>
          <w:color w:val="auto"/>
          <w:kern w:val="2"/>
          <w:sz w:val="32"/>
          <w:szCs w:val="32"/>
          <w:highlight w:val="none"/>
          <w:lang w:val="en-US" w:eastAsia="zh-CN" w:bidi="en-US"/>
        </w:rPr>
        <w:t>（3）州委政法委：</w:t>
      </w:r>
      <w:r>
        <w:rPr>
          <w:rFonts w:hint="eastAsia" w:ascii="仿宋_GB2312" w:hAnsi="仿宋_GB2312" w:eastAsia="仿宋_GB2312" w:cs="仿宋_GB2312"/>
          <w:color w:val="auto"/>
          <w:kern w:val="2"/>
          <w:sz w:val="32"/>
          <w:szCs w:val="32"/>
          <w:highlight w:val="none"/>
          <w:lang w:val="en-US" w:eastAsia="en-US" w:bidi="en-US"/>
        </w:rPr>
        <w:t>负责督促指导属地和协调州直有关部门依法妥善处置突发环境事件引发社会不稳定问题</w:t>
      </w:r>
      <w:r>
        <w:rPr>
          <w:rFonts w:hint="eastAsia" w:ascii="仿宋_GB2312" w:hAnsi="仿宋_GB2312" w:eastAsia="仿宋_GB2312" w:cs="仿宋_GB2312"/>
          <w:color w:val="auto"/>
          <w:kern w:val="2"/>
          <w:sz w:val="32"/>
          <w:szCs w:val="32"/>
          <w:highlight w:val="none"/>
          <w:lang w:val="en-US" w:eastAsia="zh-CN" w:bidi="en-US"/>
        </w:rPr>
        <w:t>。</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仿宋_GB2312" w:hAnsi="仿宋_GB2312" w:eastAsia="仿宋_GB2312" w:cs="仿宋_GB2312"/>
          <w:color w:val="auto"/>
          <w:kern w:val="2"/>
          <w:sz w:val="32"/>
          <w:szCs w:val="32"/>
          <w:highlight w:val="none"/>
          <w:lang w:val="en-US" w:eastAsia="zh-CN" w:bidi="en-US"/>
        </w:rPr>
        <w:t>（4）州发展改革委：负责将全州环境应急救援体系建设纳入州国民经济与社会发展规划；负责突发环境事件能源物资应急保障综合协调工作，提出安排突发环境事件应急物资储备和动用国家应急物资储备建议。参与组织协调突发环境事件应急结束后的恢复重建工作。</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仿宋_GB2312" w:hAnsi="仿宋_GB2312" w:eastAsia="仿宋_GB2312" w:cs="仿宋_GB2312"/>
          <w:color w:val="auto"/>
          <w:kern w:val="2"/>
          <w:sz w:val="32"/>
          <w:szCs w:val="32"/>
          <w:highlight w:val="none"/>
          <w:lang w:val="en-US" w:eastAsia="zh-CN" w:bidi="en-US"/>
        </w:rPr>
        <w:t>（5）州教育局：负责协调指导学生、教职工的紧急避险工作。</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仿宋_GB2312" w:hAnsi="仿宋_GB2312" w:eastAsia="仿宋_GB2312" w:cs="仿宋_GB2312"/>
          <w:color w:val="auto"/>
          <w:kern w:val="2"/>
          <w:sz w:val="32"/>
          <w:szCs w:val="32"/>
          <w:highlight w:val="none"/>
          <w:lang w:val="en-US" w:eastAsia="zh-CN" w:bidi="en-US"/>
        </w:rPr>
        <w:t>（6）州工业和信息化局：负责组织协调本州救援装备、监测设备、防护和消杀用品、医药等生产供应工作。根据突发环境事件具体情况，督促涉事企业事业单位或其他生产经营者实行限产、停产、关闭等措施，参与协调发生突发环境事件的工业企业污染源头进行控制处理；参与突发环境事件的调查处理和善后工作。</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仿宋_GB2312" w:hAnsi="仿宋_GB2312" w:eastAsia="仿宋_GB2312" w:cs="仿宋_GB2312"/>
          <w:color w:val="auto"/>
          <w:kern w:val="2"/>
          <w:sz w:val="32"/>
          <w:szCs w:val="32"/>
          <w:highlight w:val="none"/>
          <w:lang w:val="en-US" w:eastAsia="zh-CN" w:bidi="en-US"/>
        </w:rPr>
        <w:t>（7）州公安局：</w:t>
      </w:r>
      <w:r>
        <w:rPr>
          <w:rFonts w:hint="eastAsia" w:ascii="仿宋_GB2312" w:hAnsi="仿宋_GB2312" w:eastAsia="仿宋_GB2312" w:cs="仿宋_GB2312"/>
          <w:color w:val="auto"/>
          <w:kern w:val="2"/>
          <w:sz w:val="32"/>
          <w:szCs w:val="32"/>
          <w:highlight w:val="none"/>
          <w:lang w:val="en-US" w:eastAsia="en-US" w:bidi="en-US"/>
        </w:rPr>
        <w:t>负责突发环境事件时的社会治安，事发地周边安全警戒，维护突发环境事件现场治安秩序</w:t>
      </w:r>
      <w:r>
        <w:rPr>
          <w:rFonts w:hint="eastAsia" w:ascii="仿宋_GB2312" w:hAnsi="仿宋_GB2312" w:eastAsia="仿宋_GB2312" w:cs="仿宋_GB2312"/>
          <w:color w:val="auto"/>
          <w:kern w:val="2"/>
          <w:sz w:val="32"/>
          <w:szCs w:val="32"/>
          <w:highlight w:val="none"/>
          <w:lang w:val="en-US" w:eastAsia="zh-CN" w:bidi="en-US"/>
        </w:rPr>
        <w:t>；负责突发环境事件中涉嫌犯罪案件的侦查、事故现场的保护工作，协助有关部门调查取证，依法查处环境犯罪案件；维护突发环境事件现场及周边道路交通秩序，必要时依法实施交通管制；协助事发地县（市、开发区）政府（管委会）或有关部门疏散人员；对已死亡人员进行身份核查、验证。</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仿宋_GB2312" w:hAnsi="仿宋_GB2312" w:eastAsia="仿宋_GB2312" w:cs="仿宋_GB2312"/>
          <w:color w:val="auto"/>
          <w:kern w:val="2"/>
          <w:sz w:val="32"/>
          <w:szCs w:val="32"/>
          <w:highlight w:val="none"/>
          <w:lang w:val="en-US" w:eastAsia="zh-CN" w:bidi="en-US"/>
        </w:rPr>
        <w:t>（8）州民政局：负责指导事件发生地组织对受突发环境事件影响居民的基本生活救助，对受突发环境事件影响导致基本生活常年困难的居民家庭实施最低生活保障，并按照有关政策配合做好遇难人员遗体处置等相关善后工作。</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仿宋_GB2312" w:hAnsi="仿宋_GB2312" w:eastAsia="仿宋_GB2312" w:cs="仿宋_GB2312"/>
          <w:color w:val="auto"/>
          <w:kern w:val="2"/>
          <w:sz w:val="32"/>
          <w:szCs w:val="32"/>
          <w:highlight w:val="none"/>
          <w:lang w:val="en-US" w:eastAsia="zh-CN" w:bidi="en-US"/>
        </w:rPr>
        <w:t>（9）州财政局：</w:t>
      </w:r>
      <w:r>
        <w:rPr>
          <w:rFonts w:hint="eastAsia" w:ascii="仿宋_GB2312" w:hAnsi="仿宋_GB2312" w:eastAsia="仿宋_GB2312" w:cs="仿宋_GB2312"/>
          <w:b w:val="0"/>
          <w:bCs w:val="0"/>
          <w:color w:val="auto"/>
          <w:kern w:val="2"/>
          <w:sz w:val="32"/>
          <w:szCs w:val="32"/>
          <w:highlight w:val="none"/>
          <w:lang w:val="en-US" w:eastAsia="zh-CN" w:bidi="en-US"/>
        </w:rPr>
        <w:t>会同有关部门及时申报、筹集和拨付突发环境事件应急处置有关资金，督促部门切实加强预算绩效管理，加强资金使用的监督管理工作。结合财力状况，积极支持有关部门将较大、重大环境污染事件常规监测和预警日常经费、突发环境事件应急工作经费纳入年度部门预算进行申报。</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仿宋_GB2312" w:hAnsi="仿宋_GB2312" w:eastAsia="仿宋_GB2312" w:cs="仿宋_GB2312"/>
          <w:color w:val="auto"/>
          <w:kern w:val="2"/>
          <w:sz w:val="32"/>
          <w:szCs w:val="32"/>
          <w:highlight w:val="none"/>
          <w:lang w:val="en-US" w:eastAsia="zh-CN" w:bidi="en-US"/>
        </w:rPr>
        <w:t>（10）州住房城乡建设局：负责涉及燃气热力、环境卫生等城市市政公用基础设施相关突发环境事件的调查和应急处置工作；负责突发环境事件中被损毁市政公用基础设施的抢险、恢复和维护工作，保障城市基础设施正常运行；配合开展现场洗消工作；调用各区域的洒水车为临时应急供水提供保障。</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仿宋_GB2312" w:hAnsi="仿宋_GB2312" w:eastAsia="仿宋_GB2312" w:cs="仿宋_GB2312"/>
          <w:color w:val="auto"/>
          <w:kern w:val="2"/>
          <w:sz w:val="32"/>
          <w:szCs w:val="32"/>
          <w:highlight w:val="none"/>
          <w:lang w:val="en-US" w:eastAsia="zh-CN" w:bidi="en-US"/>
        </w:rPr>
        <w:t>（11）州交通运输局：负责协调交通运输企业做好应急救援运输保障；负责所辖范围内交通运输突发环境事件先期处置；负责突发环境事件现场公路的抢修保通工作；协助收集道路和水路污染物；协助做好有关人员的疏散工作。</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仿宋_GB2312" w:hAnsi="仿宋_GB2312" w:eastAsia="仿宋_GB2312" w:cs="仿宋_GB2312"/>
          <w:color w:val="auto"/>
          <w:kern w:val="2"/>
          <w:sz w:val="32"/>
          <w:szCs w:val="32"/>
          <w:highlight w:val="none"/>
          <w:lang w:val="en-US" w:eastAsia="zh-CN" w:bidi="en-US"/>
        </w:rPr>
        <w:t>（12）州农业农村局：负责组织核定突发环境事件中农田土壤、农作物和畜禽水产的受污染情况；组织协调相关农业环境污染应急处理和受污染威胁的农业珍稀野生植物资源保护工作；协助做好突发环境事件现场的农业生产物资、牲畜的转移工作；负责协调突发环境事件应急处置现场农业生产物资的调配，指导农业生产恢复工作。</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仿宋_GB2312" w:hAnsi="仿宋_GB2312" w:eastAsia="仿宋_GB2312" w:cs="仿宋_GB2312"/>
          <w:color w:val="auto"/>
          <w:kern w:val="2"/>
          <w:sz w:val="32"/>
          <w:szCs w:val="32"/>
          <w:highlight w:val="none"/>
          <w:lang w:val="en-US" w:eastAsia="zh-CN" w:bidi="en-US"/>
        </w:rPr>
        <w:t>（13）州水务局：负责实施或协调应急水量调度，指导制定饮用水紧急供水方案并协调实施，保障饮用水供应；参与水环境污染事件应急处置工作，为突发环境事件应急处置工作提供水质、水量同步监测等水资源信息。会同州生态环境局制定受污染水体疏导、截流方案，并参与相应的救援工作。</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仿宋_GB2312" w:hAnsi="仿宋_GB2312" w:eastAsia="仿宋_GB2312" w:cs="仿宋_GB2312"/>
          <w:color w:val="auto"/>
          <w:kern w:val="2"/>
          <w:sz w:val="32"/>
          <w:szCs w:val="32"/>
          <w:highlight w:val="none"/>
          <w:lang w:val="en-US" w:eastAsia="zh-CN" w:bidi="en-US"/>
        </w:rPr>
        <w:t>（14）州自然资源局：负责因地质灾害次生的突发环境事件应急救援技术支撑工作和测绘地理信息保障工作，提供测绘地理信息、地质等相关资料；负责突发环境事件应急结束后相关生态的修复工作。</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仿宋_GB2312" w:hAnsi="仿宋_GB2312" w:eastAsia="仿宋_GB2312" w:cs="仿宋_GB2312"/>
          <w:color w:val="auto"/>
          <w:kern w:val="2"/>
          <w:sz w:val="32"/>
          <w:szCs w:val="32"/>
          <w:highlight w:val="none"/>
          <w:lang w:val="en-US" w:eastAsia="zh-CN" w:bidi="en-US"/>
        </w:rPr>
        <w:t>（15）州商务局：负责协调、组织重要生活必需品的应急供应准备，保障市场供应。</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仿宋_GB2312" w:hAnsi="仿宋_GB2312" w:eastAsia="仿宋_GB2312" w:cs="仿宋_GB2312"/>
          <w:color w:val="auto"/>
          <w:kern w:val="2"/>
          <w:sz w:val="32"/>
          <w:szCs w:val="32"/>
          <w:highlight w:val="none"/>
          <w:lang w:val="en-US" w:eastAsia="zh-CN" w:bidi="en-US"/>
        </w:rPr>
        <w:t>（16）州卫生健康局：负责组织协调突发环境事件的医疗卫生救援，报告医疗机构救治伤员情况信息；负责开展突发环境事件健康危害评估，做好污染事件人员伤亡医学鉴定工作。</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仿宋_GB2312" w:hAnsi="仿宋_GB2312" w:eastAsia="仿宋_GB2312" w:cs="仿宋_GB2312"/>
          <w:color w:val="auto"/>
          <w:kern w:val="2"/>
          <w:sz w:val="32"/>
          <w:szCs w:val="32"/>
          <w:highlight w:val="none"/>
          <w:lang w:val="en-US" w:eastAsia="zh-CN" w:bidi="en-US"/>
        </w:rPr>
        <w:t>（17）州林业局：负责涉及陆生野生动植物资源、湿地资源、自然保护地生态保护工作。</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宋体" w:eastAsia="仿宋_GB2312" w:cs="Times New Roman"/>
          <w:color w:val="auto"/>
          <w:kern w:val="2"/>
          <w:sz w:val="32"/>
          <w:szCs w:val="32"/>
          <w:highlight w:val="none"/>
          <w:lang w:val="en-US" w:eastAsia="zh-CN" w:bidi="en-US"/>
        </w:rPr>
      </w:pPr>
      <w:r>
        <w:rPr>
          <w:rFonts w:hint="eastAsia" w:ascii="仿宋_GB2312" w:hAnsi="仿宋_GB2312" w:eastAsia="仿宋_GB2312" w:cs="仿宋_GB2312"/>
          <w:color w:val="auto"/>
          <w:kern w:val="2"/>
          <w:sz w:val="32"/>
          <w:szCs w:val="32"/>
          <w:highlight w:val="none"/>
          <w:lang w:val="en-US" w:eastAsia="zh-CN" w:bidi="en-US"/>
        </w:rPr>
        <w:t>（18）</w:t>
      </w:r>
      <w:r>
        <w:rPr>
          <w:rFonts w:hint="eastAsia" w:ascii="仿宋_GB2312" w:hAnsi="宋体" w:eastAsia="仿宋_GB2312" w:cs="Times New Roman"/>
          <w:color w:val="auto"/>
          <w:kern w:val="2"/>
          <w:sz w:val="32"/>
          <w:szCs w:val="32"/>
          <w:highlight w:val="none"/>
          <w:lang w:val="en-US" w:eastAsia="zh-CN" w:bidi="en-US"/>
        </w:rPr>
        <w:t>州文体广电旅游局：</w:t>
      </w:r>
      <w:r>
        <w:rPr>
          <w:rFonts w:hint="eastAsia" w:ascii="仿宋_GB2312" w:hAnsi="宋体" w:eastAsia="仿宋_GB2312" w:cs="Times New Roman"/>
          <w:color w:val="auto"/>
          <w:kern w:val="2"/>
          <w:sz w:val="32"/>
          <w:szCs w:val="32"/>
          <w:highlight w:val="none"/>
          <w:lang w:val="en-US" w:eastAsia="en-US" w:bidi="en-US"/>
        </w:rPr>
        <w:t>指导旅游景区开展环境保护和环境整治工作</w:t>
      </w:r>
      <w:r>
        <w:rPr>
          <w:rFonts w:hint="eastAsia" w:ascii="仿宋_GB2312" w:hAnsi="宋体" w:eastAsia="仿宋_GB2312" w:cs="Times New Roman"/>
          <w:color w:val="auto"/>
          <w:kern w:val="2"/>
          <w:sz w:val="32"/>
          <w:szCs w:val="32"/>
          <w:highlight w:val="none"/>
          <w:lang w:val="en-US" w:eastAsia="zh-CN" w:bidi="en-US"/>
        </w:rPr>
        <w:t>。</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宋体" w:eastAsia="仿宋_GB2312" w:cs="Times New Roman"/>
          <w:color w:val="auto"/>
          <w:kern w:val="2"/>
          <w:sz w:val="32"/>
          <w:szCs w:val="32"/>
          <w:highlight w:val="none"/>
          <w:lang w:val="en-US" w:eastAsia="zh-CN" w:bidi="en-US"/>
        </w:rPr>
      </w:pPr>
      <w:r>
        <w:rPr>
          <w:rFonts w:hint="eastAsia" w:ascii="仿宋_GB2312" w:hAnsi="宋体" w:eastAsia="仿宋_GB2312" w:cs="Times New Roman"/>
          <w:color w:val="auto"/>
          <w:kern w:val="2"/>
          <w:sz w:val="32"/>
          <w:szCs w:val="32"/>
          <w:highlight w:val="none"/>
          <w:lang w:val="en-US" w:eastAsia="zh-CN" w:bidi="en-US"/>
        </w:rPr>
        <w:t>（19）州委宣传部：负责会同州生态环境局协调、组织突发环境事件应急处置的新闻发布工作；负责网络媒体舆论引导和网络信息监控工作；负责组织广播电视台做好相关信息发布和舆论引导工作。</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宋体" w:eastAsia="仿宋_GB2312" w:cs="Times New Roman"/>
          <w:color w:val="auto"/>
          <w:kern w:val="2"/>
          <w:sz w:val="32"/>
          <w:szCs w:val="32"/>
          <w:highlight w:val="none"/>
          <w:lang w:val="en-US" w:eastAsia="zh-CN" w:bidi="en-US"/>
        </w:rPr>
      </w:pPr>
      <w:r>
        <w:rPr>
          <w:rFonts w:hint="eastAsia" w:ascii="仿宋_GB2312" w:hAnsi="宋体" w:eastAsia="仿宋_GB2312" w:cs="Times New Roman"/>
          <w:color w:val="auto"/>
          <w:kern w:val="2"/>
          <w:sz w:val="32"/>
          <w:szCs w:val="32"/>
          <w:highlight w:val="none"/>
          <w:lang w:val="en-US" w:eastAsia="zh-CN" w:bidi="en-US"/>
        </w:rPr>
        <w:t>（20）州气象局：负责提供有关气象监测预报服务；必要时在突发环境事件区域进行加密可移动气象监测，提供现场气象预报服务信息，并根据天气形势演变适时开展人工影响天气作业。</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宋体" w:eastAsia="仿宋_GB2312" w:cs="Times New Roman"/>
          <w:color w:val="auto"/>
          <w:kern w:val="2"/>
          <w:sz w:val="32"/>
          <w:szCs w:val="32"/>
          <w:highlight w:val="none"/>
          <w:lang w:val="en-US" w:eastAsia="zh-CN" w:bidi="en-US"/>
        </w:rPr>
      </w:pPr>
      <w:r>
        <w:rPr>
          <w:rFonts w:hint="eastAsia" w:ascii="仿宋_GB2312" w:hAnsi="宋体" w:eastAsia="仿宋_GB2312" w:cs="Times New Roman"/>
          <w:color w:val="auto"/>
          <w:kern w:val="2"/>
          <w:sz w:val="32"/>
          <w:szCs w:val="32"/>
          <w:highlight w:val="none"/>
          <w:lang w:val="en-US" w:eastAsia="zh-CN" w:bidi="en-US"/>
        </w:rPr>
        <w:t>（21）州水文水资源局：参与水环境污染事件应急处置工作，为突发环境事件应急处置工作提供水质、水量同步监测、水文资料等水资源信息。</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宋体" w:eastAsia="仿宋_GB2312" w:cs="Times New Roman"/>
          <w:color w:val="auto"/>
          <w:kern w:val="2"/>
          <w:sz w:val="32"/>
          <w:szCs w:val="32"/>
          <w:highlight w:val="none"/>
          <w:lang w:val="en-US" w:eastAsia="zh-CN" w:bidi="en-US"/>
        </w:rPr>
      </w:pPr>
      <w:r>
        <w:rPr>
          <w:rFonts w:hint="eastAsia" w:ascii="仿宋_GB2312" w:hAnsi="宋体" w:eastAsia="仿宋_GB2312" w:cs="Times New Roman"/>
          <w:color w:val="auto"/>
          <w:kern w:val="2"/>
          <w:sz w:val="32"/>
          <w:szCs w:val="32"/>
          <w:highlight w:val="none"/>
          <w:lang w:val="en-US" w:eastAsia="zh-CN" w:bidi="en-US"/>
        </w:rPr>
        <w:t>（22）凯里供电局：配合做好突发环境事件现场电力保障工作。</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宋体" w:eastAsia="仿宋_GB2312" w:cs="Times New Roman"/>
          <w:color w:val="auto"/>
          <w:kern w:val="2"/>
          <w:sz w:val="32"/>
          <w:szCs w:val="32"/>
          <w:highlight w:val="none"/>
          <w:lang w:val="en-US" w:eastAsia="zh-CN" w:bidi="en-US"/>
        </w:rPr>
      </w:pPr>
      <w:r>
        <w:rPr>
          <w:rFonts w:hint="eastAsia" w:ascii="仿宋_GB2312" w:hAnsi="宋体" w:eastAsia="仿宋_GB2312" w:cs="Times New Roman"/>
          <w:color w:val="auto"/>
          <w:kern w:val="2"/>
          <w:sz w:val="32"/>
          <w:szCs w:val="32"/>
          <w:highlight w:val="none"/>
          <w:lang w:val="en-US" w:eastAsia="zh-CN" w:bidi="en-US"/>
        </w:rPr>
        <w:t>（23）凯里军分区：负责组织指挥驻黔东南人民解放军、民兵预备役人员参加突发环境事件救援工作。</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宋体" w:eastAsia="仿宋_GB2312" w:cs="Times New Roman"/>
          <w:color w:val="auto"/>
          <w:kern w:val="2"/>
          <w:sz w:val="32"/>
          <w:szCs w:val="32"/>
          <w:highlight w:val="none"/>
          <w:lang w:val="en-US" w:eastAsia="zh-CN" w:bidi="en-US"/>
        </w:rPr>
      </w:pPr>
      <w:r>
        <w:rPr>
          <w:rFonts w:hint="eastAsia" w:ascii="仿宋_GB2312" w:hAnsi="宋体" w:eastAsia="仿宋_GB2312" w:cs="Times New Roman"/>
          <w:color w:val="auto"/>
          <w:kern w:val="2"/>
          <w:sz w:val="32"/>
          <w:szCs w:val="32"/>
          <w:highlight w:val="none"/>
          <w:lang w:val="en-US" w:eastAsia="zh-CN" w:bidi="en-US"/>
        </w:rPr>
        <w:t>（24）州消防救援支队：负责组织对火灾、爆炸以及危险化学品泄漏事故现场的抢险救援，控制易燃、易爆、有毒物质泄漏和污染蔓延，实施救援后的洗消。</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宋体" w:eastAsia="仿宋_GB2312" w:cs="Times New Roman"/>
          <w:color w:val="auto"/>
          <w:kern w:val="2"/>
          <w:sz w:val="32"/>
          <w:szCs w:val="32"/>
          <w:highlight w:val="none"/>
          <w:lang w:val="en-US" w:eastAsia="zh-CN" w:bidi="en-US"/>
        </w:rPr>
      </w:pPr>
      <w:r>
        <w:rPr>
          <w:rFonts w:hint="eastAsia" w:ascii="仿宋_GB2312" w:hAnsi="宋体" w:eastAsia="仿宋_GB2312" w:cs="Times New Roman"/>
          <w:color w:val="auto"/>
          <w:kern w:val="2"/>
          <w:sz w:val="32"/>
          <w:szCs w:val="32"/>
          <w:highlight w:val="none"/>
          <w:lang w:val="en-US" w:eastAsia="zh-CN" w:bidi="en-US"/>
        </w:rPr>
        <w:t>（25）州武警支队：负责协调驻黔东南武警部队参与现场警戒及突发环境事件救援工作。</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宋体" w:eastAsia="仿宋_GB2312" w:cs="Times New Roman"/>
          <w:color w:val="auto"/>
          <w:kern w:val="2"/>
          <w:sz w:val="32"/>
          <w:szCs w:val="32"/>
          <w:highlight w:val="none"/>
          <w:lang w:val="en-US" w:eastAsia="zh-CN" w:bidi="en-US"/>
        </w:rPr>
      </w:pPr>
      <w:r>
        <w:rPr>
          <w:rFonts w:hint="eastAsia" w:ascii="仿宋_GB2312" w:hAnsi="宋体" w:eastAsia="仿宋_GB2312" w:cs="Times New Roman"/>
          <w:color w:val="auto"/>
          <w:kern w:val="2"/>
          <w:sz w:val="32"/>
          <w:szCs w:val="32"/>
          <w:highlight w:val="none"/>
          <w:lang w:val="en-US" w:eastAsia="zh-CN" w:bidi="en-US"/>
        </w:rPr>
        <w:t>（26）移动黔东南分公司、电信黔东南分公司、联通黔东南分公司：做好通信保障应急工作，确保突发环境事件应急处置现场的通信网络及通信畅通。</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宋体" w:eastAsia="仿宋_GB2312" w:cs="Times New Roman"/>
          <w:color w:val="auto"/>
          <w:kern w:val="2"/>
          <w:sz w:val="32"/>
          <w:szCs w:val="32"/>
          <w:highlight w:val="none"/>
          <w:lang w:val="en-US" w:eastAsia="zh-CN" w:bidi="en-US"/>
        </w:rPr>
      </w:pPr>
      <w:r>
        <w:rPr>
          <w:rFonts w:hint="eastAsia" w:ascii="仿宋_GB2312" w:hAnsi="宋体" w:eastAsia="仿宋_GB2312" w:cs="Times New Roman"/>
          <w:color w:val="auto"/>
          <w:kern w:val="2"/>
          <w:sz w:val="32"/>
          <w:szCs w:val="32"/>
          <w:highlight w:val="none"/>
          <w:lang w:val="en-US" w:eastAsia="zh-CN" w:bidi="en-US"/>
        </w:rPr>
        <w:t>（27）事发地县（市、开发区）人民政府（管委会）：负责组织本辖区突发环境事件的污染控制、应急救援、人员疏散、物资供应、资金保障、善后处理等工作；全权应对处置一般突发环境事件；对较大以上突发环境事件开展先期处置，与州生态环境安全应急指挥部各成员单位共同应对处置。</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宋体" w:eastAsia="仿宋_GB2312" w:cs="Times New Roman"/>
          <w:color w:val="auto"/>
          <w:kern w:val="2"/>
          <w:sz w:val="32"/>
          <w:szCs w:val="32"/>
          <w:highlight w:val="none"/>
          <w:lang w:val="en-US" w:eastAsia="zh-CN" w:bidi="en-US"/>
        </w:rPr>
      </w:pPr>
      <w:r>
        <w:rPr>
          <w:rFonts w:hint="eastAsia" w:ascii="仿宋_GB2312" w:hAnsi="宋体" w:eastAsia="仿宋_GB2312" w:cs="Times New Roman"/>
          <w:color w:val="auto"/>
          <w:kern w:val="2"/>
          <w:sz w:val="32"/>
          <w:szCs w:val="32"/>
          <w:highlight w:val="none"/>
          <w:lang w:val="en-US" w:eastAsia="zh-CN" w:bidi="en-US"/>
        </w:rPr>
        <w:t>（28）环境风险企业：承担环境安全主体责任。负责制定本单位突发环境事件应急预案；组建环境应急救援队伍，储备环境应急物资；突发环境事件发生后及时向生态环境部门报告事件情况，组织先期处置，及时采取措施控制污染扩散，消除环境污染。</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宋体" w:eastAsia="仿宋_GB2312" w:cs="Times New Roman"/>
          <w:color w:val="auto"/>
          <w:kern w:val="2"/>
          <w:sz w:val="32"/>
          <w:szCs w:val="32"/>
          <w:highlight w:val="none"/>
          <w:lang w:val="en-US" w:eastAsia="zh-CN" w:bidi="en-US"/>
        </w:rPr>
      </w:pPr>
      <w:r>
        <w:rPr>
          <w:rFonts w:hint="eastAsia" w:ascii="仿宋_GB2312" w:hAnsi="宋体" w:eastAsia="仿宋_GB2312" w:cs="Times New Roman"/>
          <w:color w:val="auto"/>
          <w:kern w:val="2"/>
          <w:sz w:val="32"/>
          <w:szCs w:val="32"/>
          <w:highlight w:val="none"/>
          <w:lang w:val="en-US" w:eastAsia="zh-CN" w:bidi="en-US"/>
        </w:rPr>
        <w:t>本预案未列出的其它部门和单位根据州生态环境安全应急指挥部指令，按照本部门、本单位职责和应急处置需要，依法做好突发环境事件应急处置相关工作。</w:t>
      </w:r>
    </w:p>
    <w:p>
      <w:pPr>
        <w:keepNext w:val="0"/>
        <w:keepLines w:val="0"/>
        <w:pageBreakBefore w:val="0"/>
        <w:widowControl/>
        <w:kinsoku/>
        <w:wordWrap/>
        <w:overflowPunct/>
        <w:topLinePunct w:val="0"/>
        <w:bidi w:val="0"/>
        <w:snapToGrid/>
        <w:spacing w:line="560" w:lineRule="exact"/>
        <w:ind w:firstLine="640"/>
        <w:textAlignment w:val="auto"/>
        <w:outlineLvl w:val="2"/>
        <w:rPr>
          <w:rFonts w:hint="eastAsia" w:ascii="仿宋_GB2312" w:hAnsi="仿宋_GB2312" w:eastAsia="仿宋_GB2312" w:cs="仿宋_GB2312"/>
          <w:b/>
          <w:bCs/>
          <w:color w:val="auto"/>
          <w:sz w:val="32"/>
          <w:szCs w:val="32"/>
          <w:highlight w:val="none"/>
          <w:lang w:eastAsia="zh-CN"/>
        </w:rPr>
      </w:pPr>
      <w:bookmarkStart w:id="24" w:name="_Toc9036"/>
      <w:r>
        <w:rPr>
          <w:rFonts w:hint="eastAsia" w:ascii="仿宋_GB2312" w:hAnsi="仿宋_GB2312" w:eastAsia="仿宋_GB2312" w:cs="仿宋_GB2312"/>
          <w:b/>
          <w:bCs/>
          <w:color w:val="auto"/>
          <w:sz w:val="32"/>
          <w:szCs w:val="32"/>
          <w:highlight w:val="none"/>
          <w:lang w:val="en-US" w:eastAsia="zh-CN"/>
        </w:rPr>
        <w:t>2.1.4 现场指挥部的建立和职责</w:t>
      </w:r>
      <w:bookmarkEnd w:id="24"/>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负责突发环境事件应急处置的</w:t>
      </w:r>
      <w:r>
        <w:rPr>
          <w:rFonts w:hint="eastAsia" w:ascii="仿宋_GB2312" w:hAnsi="仿宋_GB2312" w:eastAsia="仿宋_GB2312" w:cs="仿宋_GB2312"/>
          <w:color w:val="auto"/>
          <w:sz w:val="32"/>
          <w:szCs w:val="32"/>
          <w:highlight w:val="none"/>
          <w:lang w:val="en-US" w:eastAsia="zh-CN"/>
        </w:rPr>
        <w:t>州生态环境安全应急指挥部</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rPr>
        <w:t>需要</w:t>
      </w:r>
      <w:r>
        <w:rPr>
          <w:rFonts w:hint="eastAsia" w:ascii="仿宋_GB2312" w:hAnsi="仿宋_GB2312" w:eastAsia="仿宋_GB2312" w:cs="仿宋_GB2312"/>
          <w:color w:val="auto"/>
          <w:sz w:val="32"/>
          <w:szCs w:val="32"/>
          <w:highlight w:val="none"/>
          <w:lang w:val="en-US" w:eastAsia="zh-CN"/>
        </w:rPr>
        <w:t>建立现场指挥部</w:t>
      </w:r>
      <w:r>
        <w:rPr>
          <w:rFonts w:hint="eastAsia" w:ascii="仿宋_GB2312" w:hAnsi="仿宋_GB2312" w:eastAsia="仿宋_GB2312" w:cs="仿宋_GB2312"/>
          <w:color w:val="auto"/>
          <w:sz w:val="32"/>
          <w:szCs w:val="32"/>
          <w:highlight w:val="none"/>
          <w:lang w:eastAsia="zh-CN"/>
        </w:rPr>
        <w:t>，现场指挥部由</w:t>
      </w:r>
      <w:r>
        <w:rPr>
          <w:rFonts w:hint="eastAsia" w:ascii="仿宋_GB2312" w:hAnsi="仿宋_GB2312" w:eastAsia="仿宋_GB2312" w:cs="仿宋_GB2312"/>
          <w:color w:val="auto"/>
          <w:sz w:val="32"/>
          <w:szCs w:val="32"/>
          <w:highlight w:val="none"/>
          <w:lang w:val="en-US" w:eastAsia="zh-CN"/>
        </w:rPr>
        <w:t>总指挥</w:t>
      </w:r>
      <w:r>
        <w:rPr>
          <w:rFonts w:hint="eastAsia" w:ascii="仿宋_GB2312" w:hAnsi="仿宋_GB2312" w:eastAsia="仿宋_GB2312" w:cs="仿宋_GB2312"/>
          <w:color w:val="auto"/>
          <w:sz w:val="32"/>
          <w:szCs w:val="32"/>
          <w:highlight w:val="none"/>
          <w:lang w:eastAsia="zh-CN"/>
        </w:rPr>
        <w:t>和综合协调组等10个工作组组成。总指挥由</w:t>
      </w:r>
      <w:r>
        <w:rPr>
          <w:rFonts w:hint="eastAsia" w:ascii="仿宋_GB2312" w:hAnsi="仿宋_GB2312" w:eastAsia="仿宋_GB2312" w:cs="仿宋_GB2312"/>
          <w:color w:val="auto"/>
          <w:sz w:val="32"/>
          <w:szCs w:val="32"/>
          <w:highlight w:val="none"/>
          <w:lang w:val="en-US" w:eastAsia="zh-CN"/>
        </w:rPr>
        <w:t>黔东南州</w:t>
      </w:r>
      <w:r>
        <w:rPr>
          <w:rFonts w:hint="eastAsia" w:ascii="仿宋_GB2312" w:hAnsi="仿宋_GB2312" w:eastAsia="仿宋_GB2312" w:cs="仿宋_GB2312"/>
          <w:color w:val="auto"/>
          <w:sz w:val="32"/>
          <w:szCs w:val="32"/>
          <w:highlight w:val="none"/>
          <w:lang w:eastAsia="zh-CN"/>
        </w:rPr>
        <w:t>生态环境安全应急指挥部指派，负责现场组织指挥工作，各工作组组长由牵头单位主要领导或分管领导担任，实行总指挥负责制，各工作组在总指挥的统一领导下开展环境应急处置工作。</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现场指挥部总指挥</w:t>
      </w:r>
      <w:r>
        <w:rPr>
          <w:rFonts w:hint="eastAsia" w:ascii="仿宋_GB2312" w:hAnsi="仿宋_GB2312" w:eastAsia="仿宋_GB2312" w:cs="仿宋_GB2312"/>
          <w:color w:val="auto"/>
          <w:sz w:val="32"/>
          <w:szCs w:val="32"/>
          <w:highlight w:val="none"/>
          <w:lang w:eastAsia="zh-CN"/>
        </w:rPr>
        <w:t>主要</w:t>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lang w:eastAsia="zh-CN"/>
        </w:rPr>
        <w:t>职责：</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全面负责突发环境事件现场处置工作，分析、研判事件情况。</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确定各</w:t>
      </w:r>
      <w:r>
        <w:rPr>
          <w:rFonts w:hint="eastAsia" w:ascii="仿宋_GB2312" w:hAnsi="仿宋_GB2312" w:eastAsia="仿宋_GB2312" w:cs="仿宋_GB2312"/>
          <w:color w:val="auto"/>
          <w:sz w:val="32"/>
          <w:szCs w:val="32"/>
          <w:highlight w:val="none"/>
          <w:lang w:val="en-US" w:eastAsia="zh-CN"/>
        </w:rPr>
        <w:t>应急</w:t>
      </w:r>
      <w:r>
        <w:rPr>
          <w:rFonts w:hint="eastAsia" w:ascii="仿宋_GB2312" w:hAnsi="仿宋_GB2312" w:eastAsia="仿宋_GB2312" w:cs="仿宋_GB2312"/>
          <w:color w:val="auto"/>
          <w:sz w:val="32"/>
          <w:szCs w:val="32"/>
          <w:highlight w:val="none"/>
          <w:lang w:eastAsia="zh-CN"/>
        </w:rPr>
        <w:t>工作组</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eastAsia="zh-CN"/>
        </w:rPr>
        <w:t>应急</w:t>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lang w:eastAsia="zh-CN"/>
        </w:rPr>
        <w:t>方案；上报各工作组工作进展情况。</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及时掌握事故进展情况，随时向</w:t>
      </w:r>
      <w:r>
        <w:rPr>
          <w:rFonts w:hint="eastAsia" w:ascii="仿宋_GB2312" w:hAnsi="仿宋_GB2312" w:eastAsia="仿宋_GB2312" w:cs="仿宋_GB2312"/>
          <w:color w:val="auto"/>
          <w:sz w:val="32"/>
          <w:szCs w:val="32"/>
          <w:highlight w:val="none"/>
          <w:lang w:val="en-US" w:eastAsia="zh-CN"/>
        </w:rPr>
        <w:t>应急</w:t>
      </w:r>
      <w:r>
        <w:rPr>
          <w:rFonts w:hint="eastAsia" w:ascii="仿宋_GB2312" w:hAnsi="仿宋_GB2312" w:eastAsia="仿宋_GB2312" w:cs="仿宋_GB2312"/>
          <w:color w:val="auto"/>
          <w:sz w:val="32"/>
          <w:szCs w:val="32"/>
          <w:highlight w:val="none"/>
          <w:lang w:eastAsia="zh-CN"/>
        </w:rPr>
        <w:t>办公室报告，一旦发现事态有进一步扩大的趋势，可能超出自身的控制能力时，报请指挥部协调调度其他应急资源参与处置工作。</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现场指挥部下设综合协调组、应急处置组、专家</w:t>
      </w:r>
      <w:r>
        <w:rPr>
          <w:rFonts w:hint="eastAsia" w:ascii="仿宋_GB2312" w:hAnsi="仿宋_GB2312" w:eastAsia="仿宋_GB2312" w:cs="仿宋_GB2312"/>
          <w:color w:val="auto"/>
          <w:sz w:val="32"/>
          <w:szCs w:val="32"/>
          <w:highlight w:val="none"/>
          <w:lang w:val="en-US" w:eastAsia="zh-CN"/>
        </w:rPr>
        <w:t>技术</w:t>
      </w:r>
      <w:r>
        <w:rPr>
          <w:rFonts w:hint="eastAsia" w:ascii="仿宋_GB2312" w:hAnsi="仿宋_GB2312" w:eastAsia="仿宋_GB2312" w:cs="仿宋_GB2312"/>
          <w:color w:val="auto"/>
          <w:sz w:val="32"/>
          <w:szCs w:val="32"/>
          <w:highlight w:val="none"/>
          <w:lang w:eastAsia="zh-CN"/>
        </w:rPr>
        <w:t>组、监测</w:t>
      </w:r>
      <w:r>
        <w:rPr>
          <w:rFonts w:hint="eastAsia" w:ascii="仿宋_GB2312" w:hAnsi="仿宋_GB2312" w:eastAsia="仿宋_GB2312" w:cs="仿宋_GB2312"/>
          <w:color w:val="auto"/>
          <w:sz w:val="32"/>
          <w:szCs w:val="32"/>
          <w:highlight w:val="none"/>
          <w:lang w:val="en-US" w:eastAsia="zh-CN"/>
        </w:rPr>
        <w:t>预警</w:t>
      </w:r>
      <w:r>
        <w:rPr>
          <w:rFonts w:hint="eastAsia" w:ascii="仿宋_GB2312" w:hAnsi="仿宋_GB2312" w:eastAsia="仿宋_GB2312" w:cs="仿宋_GB2312"/>
          <w:color w:val="auto"/>
          <w:sz w:val="32"/>
          <w:szCs w:val="32"/>
          <w:highlight w:val="none"/>
          <w:lang w:eastAsia="zh-CN"/>
        </w:rPr>
        <w:t>组、医学救援组、社会维稳组、后勤保障组、事故调查组、善后处置组和新闻发布组10个工作组。各工作组在现场指挥部的统一指挥下，按照</w:t>
      </w:r>
      <w:r>
        <w:rPr>
          <w:rFonts w:hint="eastAsia" w:ascii="仿宋_GB2312" w:hAnsi="仿宋_GB2312" w:eastAsia="仿宋_GB2312" w:cs="仿宋_GB2312"/>
          <w:color w:val="auto"/>
          <w:sz w:val="32"/>
          <w:szCs w:val="32"/>
          <w:highlight w:val="none"/>
          <w:lang w:val="en-US" w:eastAsia="zh-CN"/>
        </w:rPr>
        <w:t>各自的</w:t>
      </w:r>
      <w:r>
        <w:rPr>
          <w:rFonts w:hint="eastAsia" w:ascii="仿宋_GB2312" w:hAnsi="仿宋_GB2312" w:eastAsia="仿宋_GB2312" w:cs="仿宋_GB2312"/>
          <w:color w:val="auto"/>
          <w:sz w:val="32"/>
          <w:szCs w:val="32"/>
          <w:highlight w:val="none"/>
          <w:lang w:eastAsia="zh-CN"/>
        </w:rPr>
        <w:t>职责分工和环境事件处置方案，相互配合、密切协作，共同开展应急处置工作，组织机构见附件2。</w:t>
      </w:r>
      <w:r>
        <w:rPr>
          <w:rFonts w:hint="eastAsia" w:ascii="仿宋_GB2312" w:hAnsi="仿宋_GB2312" w:eastAsia="仿宋_GB2312" w:cs="仿宋_GB2312"/>
          <w:color w:val="auto"/>
          <w:sz w:val="32"/>
          <w:szCs w:val="32"/>
          <w:highlight w:val="none"/>
        </w:rPr>
        <w:t>各工作组组成单位及具体职责如下：</w:t>
      </w:r>
    </w:p>
    <w:p>
      <w:pPr>
        <w:keepNext w:val="0"/>
        <w:keepLines w:val="0"/>
        <w:pageBreakBefore w:val="0"/>
        <w:widowControl/>
        <w:numPr>
          <w:ilvl w:val="0"/>
          <w:numId w:val="1"/>
        </w:numPr>
        <w:kinsoku/>
        <w:wordWrap/>
        <w:overflowPunct/>
        <w:topLinePunct w:val="0"/>
        <w:bidi w:val="0"/>
        <w:snapToGrid/>
        <w:spacing w:line="560" w:lineRule="exact"/>
        <w:ind w:firstLine="640" w:firstLineChars="200"/>
        <w:textAlignment w:val="auto"/>
        <w:rPr>
          <w:rFonts w:hint="eastAsia" w:ascii="仿宋_GB2312" w:hAnsi="宋体" w:eastAsia="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综合协调组</w:t>
      </w:r>
    </w:p>
    <w:p>
      <w:pPr>
        <w:keepNext w:val="0"/>
        <w:keepLines w:val="0"/>
        <w:pageBreakBefore w:val="0"/>
        <w:widowControl/>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牵头单位：州生态环境局</w:t>
      </w:r>
    </w:p>
    <w:p>
      <w:pPr>
        <w:keepNext w:val="0"/>
        <w:keepLines w:val="0"/>
        <w:pageBreakBefore w:val="0"/>
        <w:widowControl/>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参与单位：州应急管理局、属地县（市、开发区）人民政府（管委会）</w:t>
      </w:r>
    </w:p>
    <w:p>
      <w:pPr>
        <w:keepNext w:val="0"/>
        <w:keepLines w:val="0"/>
        <w:pageBreakBefore w:val="0"/>
        <w:widowControl/>
        <w:numPr>
          <w:ilvl w:val="0"/>
          <w:numId w:val="0"/>
        </w:numPr>
        <w:kinsoku/>
        <w:wordWrap/>
        <w:overflowPunct/>
        <w:topLinePunct w:val="0"/>
        <w:bidi w:val="0"/>
        <w:snapToGrid/>
        <w:spacing w:line="560" w:lineRule="exact"/>
        <w:ind w:firstLine="640" w:firstLineChars="200"/>
        <w:textAlignment w:val="auto"/>
        <w:rPr>
          <w:rFonts w:hint="eastAsia" w:ascii="仿宋_GB2312" w:hAnsi="宋体" w:eastAsia="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小组职责：</w:t>
      </w:r>
      <w:r>
        <w:rPr>
          <w:rFonts w:hint="eastAsia" w:ascii="仿宋_GB2312" w:hAnsi="仿宋_GB2312" w:eastAsia="仿宋_GB2312" w:cs="仿宋_GB2312"/>
          <w:color w:val="auto"/>
          <w:sz w:val="32"/>
          <w:szCs w:val="32"/>
          <w:highlight w:val="none"/>
        </w:rPr>
        <w:t>协助现场指挥部开展现场处置的指挥调度工作，协调开展现场指挥部各工作组的应急处置工作</w:t>
      </w:r>
      <w:r>
        <w:rPr>
          <w:rFonts w:hint="eastAsia" w:ascii="仿宋_GB2312" w:hAnsi="仿宋_GB2312" w:eastAsia="仿宋_GB2312" w:cs="仿宋_GB2312"/>
          <w:color w:val="auto"/>
          <w:sz w:val="32"/>
          <w:szCs w:val="32"/>
          <w:highlight w:val="none"/>
          <w:lang w:eastAsia="zh-CN"/>
        </w:rPr>
        <w:t>；督办、落实指挥部批示、指示；</w:t>
      </w:r>
      <w:r>
        <w:rPr>
          <w:rFonts w:hint="eastAsia" w:ascii="仿宋_GB2312" w:hAnsi="仿宋_GB2312" w:eastAsia="仿宋_GB2312" w:cs="仿宋_GB2312"/>
          <w:color w:val="auto"/>
          <w:sz w:val="32"/>
          <w:szCs w:val="32"/>
          <w:highlight w:val="none"/>
        </w:rPr>
        <w:t>调度汇总上报各工作组工作进展情况，协调调动救助物资、救援资源和救援队伍，负责</w:t>
      </w:r>
      <w:r>
        <w:rPr>
          <w:rFonts w:hint="eastAsia" w:ascii="仿宋_GB2312" w:hAnsi="仿宋_GB2312" w:eastAsia="仿宋_GB2312" w:cs="仿宋_GB2312"/>
          <w:color w:val="auto"/>
          <w:sz w:val="32"/>
          <w:szCs w:val="32"/>
          <w:highlight w:val="none"/>
          <w:lang w:val="en-US" w:eastAsia="zh-CN"/>
        </w:rPr>
        <w:t>现场</w:t>
      </w:r>
      <w:r>
        <w:rPr>
          <w:rFonts w:hint="eastAsia" w:ascii="仿宋_GB2312" w:hAnsi="仿宋_GB2312" w:eastAsia="仿宋_GB2312" w:cs="仿宋_GB2312"/>
          <w:color w:val="auto"/>
          <w:sz w:val="32"/>
          <w:szCs w:val="32"/>
          <w:highlight w:val="none"/>
        </w:rPr>
        <w:t>资料收集、管理和归档工作。</w:t>
      </w:r>
    </w:p>
    <w:p>
      <w:pPr>
        <w:keepNext w:val="0"/>
        <w:keepLines w:val="0"/>
        <w:pageBreakBefore w:val="0"/>
        <w:widowControl/>
        <w:numPr>
          <w:ilvl w:val="0"/>
          <w:numId w:val="1"/>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应急处置组</w:t>
      </w:r>
    </w:p>
    <w:p>
      <w:pPr>
        <w:keepNext w:val="0"/>
        <w:keepLines w:val="0"/>
        <w:pageBreakBefore w:val="0"/>
        <w:widowControl/>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牵头单位：属地县（市、开发区）人民政府（管委会）、州生态环境局</w:t>
      </w:r>
    </w:p>
    <w:p>
      <w:pPr>
        <w:keepNext w:val="0"/>
        <w:keepLines w:val="0"/>
        <w:pageBreakBefore w:val="0"/>
        <w:widowControl/>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参与单位：</w:t>
      </w:r>
      <w:r>
        <w:rPr>
          <w:rFonts w:hint="eastAsia" w:ascii="仿宋_GB2312" w:hAnsi="宋体" w:eastAsia="仿宋_GB2312"/>
          <w:color w:val="auto"/>
          <w:sz w:val="32"/>
          <w:szCs w:val="32"/>
          <w:highlight w:val="none"/>
        </w:rPr>
        <w:t>州应急管理局、州发展改革委、州教育局、州工业和信息化局、州公安局、州交通运输局、州农业农村局、州水务局、州自然资源局、州卫生健康局、州林业局、州文体广电旅游局、州水文水资源局、凯里军分区、州消防救援支队、州武警支队</w:t>
      </w:r>
      <w:r>
        <w:rPr>
          <w:rFonts w:eastAsia="仿宋_GB2312"/>
          <w:color w:val="auto"/>
          <w:sz w:val="32"/>
          <w:szCs w:val="32"/>
          <w:highlight w:val="none"/>
        </w:rPr>
        <w:t>等相关部门</w:t>
      </w:r>
    </w:p>
    <w:p>
      <w:pPr>
        <w:keepNext w:val="0"/>
        <w:keepLines w:val="0"/>
        <w:pageBreakBefore w:val="0"/>
        <w:widowControl/>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小组职责：</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val="en-US" w:eastAsia="zh-CN"/>
        </w:rPr>
        <w:t>应急</w:t>
      </w:r>
      <w:r>
        <w:rPr>
          <w:rFonts w:hint="eastAsia" w:ascii="仿宋_GB2312" w:hAnsi="仿宋_GB2312" w:eastAsia="仿宋_GB2312" w:cs="仿宋_GB2312"/>
          <w:color w:val="auto"/>
          <w:sz w:val="32"/>
          <w:szCs w:val="32"/>
          <w:highlight w:val="none"/>
        </w:rPr>
        <w:t>指挥部指令开展</w:t>
      </w:r>
      <w:r>
        <w:rPr>
          <w:rFonts w:hint="eastAsia" w:ascii="仿宋_GB2312" w:hAnsi="仿宋_GB2312" w:eastAsia="仿宋_GB2312" w:cs="仿宋_GB2312"/>
          <w:color w:val="auto"/>
          <w:sz w:val="32"/>
          <w:szCs w:val="32"/>
          <w:highlight w:val="none"/>
          <w:lang w:val="en-US" w:eastAsia="zh-CN"/>
        </w:rPr>
        <w:t>相应的</w:t>
      </w:r>
      <w:r>
        <w:rPr>
          <w:rFonts w:hint="eastAsia" w:ascii="仿宋_GB2312" w:hAnsi="仿宋_GB2312" w:eastAsia="仿宋_GB2312" w:cs="仿宋_GB2312"/>
          <w:color w:val="auto"/>
          <w:sz w:val="32"/>
          <w:szCs w:val="32"/>
          <w:highlight w:val="none"/>
        </w:rPr>
        <w:t>应急处置工作；根据预警级别落实应急管理措施；完成</w:t>
      </w:r>
      <w:r>
        <w:rPr>
          <w:rFonts w:hint="eastAsia" w:ascii="仿宋_GB2312" w:hAnsi="仿宋_GB2312" w:eastAsia="仿宋_GB2312" w:cs="仿宋_GB2312"/>
          <w:color w:val="auto"/>
          <w:sz w:val="32"/>
          <w:szCs w:val="32"/>
          <w:highlight w:val="none"/>
          <w:lang w:val="en-US" w:eastAsia="zh-CN"/>
        </w:rPr>
        <w:t>应急</w:t>
      </w:r>
      <w:r>
        <w:rPr>
          <w:rFonts w:hint="eastAsia" w:ascii="仿宋_GB2312" w:hAnsi="仿宋_GB2312" w:eastAsia="仿宋_GB2312" w:cs="仿宋_GB2312"/>
          <w:color w:val="auto"/>
          <w:sz w:val="32"/>
          <w:szCs w:val="32"/>
          <w:highlight w:val="none"/>
        </w:rPr>
        <w:t>指挥部交办的其他事项。</w:t>
      </w:r>
    </w:p>
    <w:p>
      <w:pPr>
        <w:pStyle w:val="18"/>
        <w:keepNext w:val="0"/>
        <w:keepLines w:val="0"/>
        <w:pageBreakBefore w:val="0"/>
        <w:numPr>
          <w:ilvl w:val="0"/>
          <w:numId w:val="1"/>
        </w:numPr>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专家</w:t>
      </w:r>
      <w:r>
        <w:rPr>
          <w:rFonts w:hint="eastAsia" w:ascii="仿宋_GB2312" w:hAnsi="仿宋_GB2312" w:eastAsia="仿宋_GB2312" w:cs="仿宋_GB2312"/>
          <w:color w:val="auto"/>
          <w:sz w:val="32"/>
          <w:szCs w:val="32"/>
          <w:highlight w:val="none"/>
          <w:lang w:val="en-US" w:eastAsia="zh-CN"/>
        </w:rPr>
        <w:t>技术</w:t>
      </w:r>
      <w:r>
        <w:rPr>
          <w:rFonts w:hint="eastAsia" w:ascii="仿宋_GB2312" w:hAnsi="仿宋_GB2312" w:eastAsia="仿宋_GB2312" w:cs="仿宋_GB2312"/>
          <w:color w:val="auto"/>
          <w:sz w:val="32"/>
          <w:szCs w:val="32"/>
          <w:highlight w:val="none"/>
        </w:rPr>
        <w:t>组</w:t>
      </w:r>
    </w:p>
    <w:p>
      <w:pPr>
        <w:keepNext w:val="0"/>
        <w:keepLines w:val="0"/>
        <w:pageBreakBefore w:val="0"/>
        <w:widowControl/>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牵头单位：州生态环境局、属地县（市、开发区）人民政府（管委会）</w:t>
      </w:r>
    </w:p>
    <w:p>
      <w:pPr>
        <w:keepNext w:val="0"/>
        <w:keepLines w:val="0"/>
        <w:pageBreakBefore w:val="0"/>
        <w:widowControl/>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成员：贵州省、黔东南州生态环境应急专家，专家组成员名单详见附件7</w:t>
      </w:r>
    </w:p>
    <w:p>
      <w:pPr>
        <w:pStyle w:val="18"/>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小组职责：</w:t>
      </w:r>
      <w:r>
        <w:rPr>
          <w:rFonts w:hint="eastAsia" w:ascii="仿宋_GB2312" w:hAnsi="仿宋_GB2312" w:eastAsia="仿宋_GB2312" w:cs="仿宋_GB2312"/>
          <w:color w:val="auto"/>
          <w:sz w:val="32"/>
          <w:szCs w:val="32"/>
          <w:highlight w:val="none"/>
        </w:rPr>
        <w:t>根据突发环境事件特性，州生态环境安全应急指挥部办公室从</w:t>
      </w:r>
      <w:r>
        <w:rPr>
          <w:rFonts w:hint="eastAsia" w:ascii="仿宋_GB2312" w:hAnsi="仿宋_GB2312" w:eastAsia="仿宋_GB2312" w:cs="仿宋_GB2312"/>
          <w:color w:val="auto"/>
          <w:sz w:val="32"/>
          <w:szCs w:val="32"/>
          <w:highlight w:val="none"/>
          <w:lang w:val="en-US" w:eastAsia="zh-CN"/>
        </w:rPr>
        <w:t>省、</w:t>
      </w:r>
      <w:r>
        <w:rPr>
          <w:rFonts w:hint="eastAsia" w:ascii="仿宋_GB2312" w:hAnsi="仿宋_GB2312" w:eastAsia="仿宋_GB2312" w:cs="仿宋_GB2312"/>
          <w:color w:val="auto"/>
          <w:sz w:val="32"/>
          <w:szCs w:val="32"/>
          <w:highlight w:val="none"/>
        </w:rPr>
        <w:t>州突发环境事件应急专家库中组织相关领域专家成立</w:t>
      </w:r>
      <w:r>
        <w:rPr>
          <w:rFonts w:hint="eastAsia" w:ascii="仿宋_GB2312" w:hAnsi="仿宋_GB2312" w:eastAsia="仿宋_GB2312" w:cs="仿宋_GB2312"/>
          <w:color w:val="auto"/>
          <w:sz w:val="32"/>
          <w:szCs w:val="32"/>
          <w:highlight w:val="none"/>
          <w:lang w:eastAsia="zh-CN"/>
        </w:rPr>
        <w:t>专家技术组</w:t>
      </w:r>
      <w:r>
        <w:rPr>
          <w:rFonts w:hint="eastAsia" w:ascii="仿宋_GB2312" w:hAnsi="仿宋_GB2312" w:eastAsia="仿宋_GB2312" w:cs="仿宋_GB2312"/>
          <w:color w:val="auto"/>
          <w:sz w:val="32"/>
          <w:szCs w:val="32"/>
          <w:highlight w:val="none"/>
        </w:rPr>
        <w:t>。主要负责对事件现状和发展趋势做出科学判断和预测，提出科学的应急处置措施和建议，参与制定应急监测及应急处置方案，对事件应急处置结果及产生的环境影响进行分析评估，为应急处置决策提供智力支持。</w:t>
      </w:r>
    </w:p>
    <w:p>
      <w:pPr>
        <w:pStyle w:val="18"/>
        <w:keepNext w:val="0"/>
        <w:keepLines w:val="0"/>
        <w:pageBreakBefore w:val="0"/>
        <w:numPr>
          <w:ilvl w:val="0"/>
          <w:numId w:val="1"/>
        </w:numPr>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监测预警组</w:t>
      </w:r>
      <w:r>
        <w:rPr>
          <w:rFonts w:hint="eastAsia" w:ascii="仿宋_GB2312" w:hAnsi="仿宋_GB2312" w:eastAsia="仿宋_GB2312" w:cs="仿宋_GB2312"/>
          <w:color w:val="auto"/>
          <w:sz w:val="32"/>
          <w:szCs w:val="32"/>
          <w:highlight w:val="none"/>
        </w:rPr>
        <w:t>：</w:t>
      </w:r>
    </w:p>
    <w:p>
      <w:pPr>
        <w:keepNext w:val="0"/>
        <w:keepLines w:val="0"/>
        <w:pageBreakBefore w:val="0"/>
        <w:widowControl/>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牵头单位：属地县（市、开发区）人民政府（管委会）、州生态环境局</w:t>
      </w:r>
    </w:p>
    <w:p>
      <w:pPr>
        <w:keepNext w:val="0"/>
        <w:keepLines w:val="0"/>
        <w:pageBreakBefore w:val="0"/>
        <w:widowControl/>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参与单位：州气象局、州自然资源局、州水务局、州水文水资源局、州农业农村局</w:t>
      </w:r>
    </w:p>
    <w:p>
      <w:pPr>
        <w:pStyle w:val="18"/>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小组职责：</w:t>
      </w:r>
      <w:r>
        <w:rPr>
          <w:rFonts w:ascii="仿宋_GB2312" w:hAnsi="仿宋_GB2312" w:eastAsia="仿宋_GB2312" w:cs="仿宋_GB2312"/>
          <w:color w:val="auto"/>
          <w:sz w:val="32"/>
          <w:szCs w:val="32"/>
          <w:highlight w:val="none"/>
        </w:rPr>
        <w:t>制定监测方案，确定监测点位、频次，把握污染物浓度变化，确定危害范围和程度；负责为突发环境事件的应急处置工作提供水文、气象及自然灾害</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监测、预测、预报数据信息</w:t>
      </w:r>
      <w:r>
        <w:rPr>
          <w:rFonts w:hint="eastAsia" w:ascii="仿宋_GB2312" w:hAnsi="仿宋_GB2312" w:eastAsia="仿宋_GB2312" w:cs="仿宋_GB2312"/>
          <w:color w:val="auto"/>
          <w:sz w:val="32"/>
          <w:szCs w:val="32"/>
          <w:highlight w:val="none"/>
          <w:lang w:eastAsia="zh-CN"/>
        </w:rPr>
        <w:t>，</w:t>
      </w:r>
      <w:r>
        <w:rPr>
          <w:rFonts w:hint="eastAsia" w:ascii="仿宋_GB2312" w:eastAsia="仿宋_GB2312"/>
          <w:sz w:val="32"/>
          <w:szCs w:val="32"/>
        </w:rPr>
        <w:t>根据</w:t>
      </w:r>
      <w:r>
        <w:rPr>
          <w:rFonts w:hint="eastAsia" w:ascii="仿宋_GB2312" w:eastAsia="仿宋_GB2312"/>
          <w:sz w:val="32"/>
          <w:szCs w:val="32"/>
          <w:lang w:val="en-US" w:eastAsia="zh-CN"/>
        </w:rPr>
        <w:t>数据分析</w:t>
      </w:r>
      <w:r>
        <w:rPr>
          <w:rFonts w:hint="eastAsia" w:ascii="仿宋_GB2312" w:eastAsia="仿宋_GB2312"/>
          <w:sz w:val="32"/>
          <w:szCs w:val="32"/>
        </w:rPr>
        <w:t>情况，</w:t>
      </w:r>
      <w:r>
        <w:rPr>
          <w:rFonts w:hint="eastAsia" w:ascii="仿宋_GB2312" w:eastAsia="仿宋_GB2312"/>
          <w:sz w:val="32"/>
          <w:szCs w:val="32"/>
          <w:lang w:val="en-US" w:eastAsia="zh-CN"/>
        </w:rPr>
        <w:t>向应急指挥部</w:t>
      </w:r>
      <w:r>
        <w:rPr>
          <w:rFonts w:hint="eastAsia" w:ascii="仿宋_GB2312" w:eastAsia="仿宋_GB2312"/>
          <w:sz w:val="32"/>
          <w:szCs w:val="32"/>
        </w:rPr>
        <w:t>提出预警建议。</w:t>
      </w:r>
    </w:p>
    <w:p>
      <w:pPr>
        <w:pStyle w:val="18"/>
        <w:keepNext w:val="0"/>
        <w:keepLines w:val="0"/>
        <w:pageBreakBefore w:val="0"/>
        <w:numPr>
          <w:ilvl w:val="0"/>
          <w:numId w:val="1"/>
        </w:numPr>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医</w:t>
      </w:r>
      <w:r>
        <w:rPr>
          <w:rFonts w:hint="eastAsia" w:ascii="仿宋_GB2312" w:hAnsi="仿宋_GB2312" w:eastAsia="仿宋_GB2312" w:cs="仿宋_GB2312"/>
          <w:color w:val="auto"/>
          <w:sz w:val="32"/>
          <w:szCs w:val="32"/>
          <w:highlight w:val="none"/>
          <w:lang w:val="en-US" w:eastAsia="zh-CN"/>
        </w:rPr>
        <w:t>学救援</w:t>
      </w:r>
      <w:r>
        <w:rPr>
          <w:rFonts w:hint="eastAsia" w:ascii="仿宋_GB2312" w:hAnsi="仿宋_GB2312" w:eastAsia="仿宋_GB2312" w:cs="仿宋_GB2312"/>
          <w:color w:val="auto"/>
          <w:sz w:val="32"/>
          <w:szCs w:val="32"/>
          <w:highlight w:val="none"/>
          <w:lang w:eastAsia="zh-CN"/>
        </w:rPr>
        <w:t>组</w:t>
      </w:r>
    </w:p>
    <w:p>
      <w:pPr>
        <w:keepNext w:val="0"/>
        <w:keepLines w:val="0"/>
        <w:pageBreakBefore w:val="0"/>
        <w:widowControl/>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牵头单位：属地县（市、开发区）人民政府（管委会）、州卫生健康局</w:t>
      </w:r>
    </w:p>
    <w:p>
      <w:pPr>
        <w:keepNext w:val="0"/>
        <w:keepLines w:val="0"/>
        <w:pageBreakBefore w:val="0"/>
        <w:widowControl/>
        <w:numPr>
          <w:ilvl w:val="0"/>
          <w:numId w:val="0"/>
        </w:numPr>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参与单位：相关医疗卫生机构</w:t>
      </w:r>
    </w:p>
    <w:p>
      <w:pPr>
        <w:pStyle w:val="18"/>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小组职责：</w:t>
      </w:r>
      <w:r>
        <w:rPr>
          <w:rFonts w:ascii="仿宋_GB2312" w:hAnsi="仿宋_GB2312" w:eastAsia="仿宋_GB2312" w:cs="仿宋_GB2312"/>
          <w:color w:val="auto"/>
          <w:sz w:val="32"/>
          <w:szCs w:val="32"/>
          <w:highlight w:val="none"/>
        </w:rPr>
        <w:t>组织有关医疗卫生机构对伤员实施紧急医学救援，对现场进行医学处理指导。</w:t>
      </w:r>
    </w:p>
    <w:p>
      <w:pPr>
        <w:pStyle w:val="18"/>
        <w:keepNext w:val="0"/>
        <w:keepLines w:val="0"/>
        <w:pageBreakBefore w:val="0"/>
        <w:numPr>
          <w:ilvl w:val="0"/>
          <w:numId w:val="1"/>
        </w:numPr>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社会维稳组</w:t>
      </w:r>
    </w:p>
    <w:p>
      <w:pPr>
        <w:keepNext w:val="0"/>
        <w:keepLines w:val="0"/>
        <w:pageBreakBefore w:val="0"/>
        <w:widowControl/>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牵头单位：属地县（市、开发区）人民政府（管委会）、州委政法委</w:t>
      </w:r>
    </w:p>
    <w:p>
      <w:pPr>
        <w:keepNext w:val="0"/>
        <w:keepLines w:val="0"/>
        <w:pageBreakBefore w:val="0"/>
        <w:widowControl/>
        <w:numPr>
          <w:ilvl w:val="0"/>
          <w:numId w:val="0"/>
        </w:numPr>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参与单位：州公安局、州民政局</w:t>
      </w:r>
    </w:p>
    <w:p>
      <w:pPr>
        <w:pStyle w:val="18"/>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小组职责：</w:t>
      </w:r>
      <w:r>
        <w:rPr>
          <w:rFonts w:ascii="仿宋_GB2312" w:hAnsi="仿宋_GB2312" w:eastAsia="仿宋_GB2312" w:cs="仿宋_GB2312"/>
          <w:color w:val="auto"/>
          <w:sz w:val="32"/>
          <w:szCs w:val="32"/>
          <w:highlight w:val="none"/>
        </w:rPr>
        <w:t>负责对伤亡人员家属的接待、安抚和慰问工作及伤亡人员善后事宜，做好群众的思想稳定工作，维护社会稳定，消除不稳定因素。</w:t>
      </w:r>
    </w:p>
    <w:p>
      <w:pPr>
        <w:pStyle w:val="18"/>
        <w:keepNext w:val="0"/>
        <w:keepLines w:val="0"/>
        <w:pageBreakBefore w:val="0"/>
        <w:numPr>
          <w:ilvl w:val="0"/>
          <w:numId w:val="1"/>
        </w:numPr>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后勤保障组</w:t>
      </w:r>
    </w:p>
    <w:p>
      <w:pPr>
        <w:keepNext w:val="0"/>
        <w:keepLines w:val="0"/>
        <w:pageBreakBefore w:val="0"/>
        <w:widowControl/>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牵头单位：属地县（市、开发区）人民政府（管委会）</w:t>
      </w:r>
    </w:p>
    <w:p>
      <w:pPr>
        <w:keepNext w:val="0"/>
        <w:keepLines w:val="0"/>
        <w:pageBreakBefore w:val="0"/>
        <w:widowControl/>
        <w:numPr>
          <w:ilvl w:val="0"/>
          <w:numId w:val="0"/>
        </w:numPr>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参与单位：</w:t>
      </w:r>
      <w:r>
        <w:rPr>
          <w:rFonts w:hint="eastAsia" w:ascii="仿宋_GB2312" w:hAnsi="仿宋_GB2312" w:eastAsia="仿宋_GB2312" w:cs="仿宋_GB2312"/>
          <w:color w:val="auto"/>
          <w:sz w:val="32"/>
          <w:szCs w:val="32"/>
          <w:highlight w:val="none"/>
        </w:rPr>
        <w:t>州</w:t>
      </w:r>
      <w:r>
        <w:rPr>
          <w:rFonts w:ascii="仿宋_GB2312" w:hAnsi="仿宋_GB2312" w:eastAsia="仿宋_GB2312" w:cs="仿宋_GB2312"/>
          <w:color w:val="auto"/>
          <w:sz w:val="32"/>
          <w:szCs w:val="32"/>
          <w:highlight w:val="none"/>
        </w:rPr>
        <w:t>发展改革委、</w:t>
      </w:r>
      <w:r>
        <w:rPr>
          <w:rFonts w:hint="eastAsia" w:ascii="仿宋_GB2312" w:hAnsi="仿宋_GB2312" w:eastAsia="仿宋_GB2312" w:cs="仿宋_GB2312"/>
          <w:color w:val="auto"/>
          <w:sz w:val="32"/>
          <w:szCs w:val="32"/>
          <w:highlight w:val="none"/>
        </w:rPr>
        <w:t>州</w:t>
      </w:r>
      <w:r>
        <w:rPr>
          <w:rFonts w:ascii="仿宋_GB2312" w:hAnsi="仿宋_GB2312" w:eastAsia="仿宋_GB2312" w:cs="仿宋_GB2312"/>
          <w:color w:val="auto"/>
          <w:sz w:val="32"/>
          <w:szCs w:val="32"/>
          <w:highlight w:val="none"/>
        </w:rPr>
        <w:t>工业和信息化</w:t>
      </w:r>
      <w:r>
        <w:rPr>
          <w:rFonts w:hint="eastAsia" w:ascii="仿宋_GB2312" w:hAnsi="仿宋_GB2312" w:eastAsia="仿宋_GB2312" w:cs="仿宋_GB2312"/>
          <w:color w:val="auto"/>
          <w:sz w:val="32"/>
          <w:szCs w:val="32"/>
          <w:highlight w:val="none"/>
        </w:rPr>
        <w:t>局</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州</w:t>
      </w:r>
      <w:r>
        <w:rPr>
          <w:rFonts w:hint="eastAsia" w:ascii="仿宋_GB2312" w:hAnsi="仿宋_GB2312" w:eastAsia="仿宋_GB2312" w:cs="仿宋_GB2312"/>
          <w:color w:val="auto"/>
          <w:sz w:val="32"/>
          <w:szCs w:val="32"/>
          <w:highlight w:val="none"/>
          <w:lang w:val="en-US" w:eastAsia="zh-CN"/>
        </w:rPr>
        <w:t>商务</w:t>
      </w:r>
      <w:r>
        <w:rPr>
          <w:rFonts w:hint="eastAsia" w:ascii="仿宋_GB2312" w:hAnsi="仿宋_GB2312" w:eastAsia="仿宋_GB2312" w:cs="仿宋_GB2312"/>
          <w:color w:val="auto"/>
          <w:sz w:val="32"/>
          <w:szCs w:val="32"/>
          <w:highlight w:val="none"/>
        </w:rPr>
        <w:t>局</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州</w:t>
      </w:r>
      <w:r>
        <w:rPr>
          <w:rFonts w:ascii="仿宋_GB2312" w:hAnsi="仿宋_GB2312" w:eastAsia="仿宋_GB2312" w:cs="仿宋_GB2312"/>
          <w:color w:val="auto"/>
          <w:sz w:val="32"/>
          <w:szCs w:val="32"/>
          <w:highlight w:val="none"/>
        </w:rPr>
        <w:t>财政</w:t>
      </w:r>
      <w:r>
        <w:rPr>
          <w:rFonts w:hint="eastAsia" w:ascii="仿宋_GB2312" w:hAnsi="仿宋_GB2312" w:eastAsia="仿宋_GB2312" w:cs="仿宋_GB2312"/>
          <w:color w:val="auto"/>
          <w:sz w:val="32"/>
          <w:szCs w:val="32"/>
          <w:highlight w:val="none"/>
        </w:rPr>
        <w:t>局</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州</w:t>
      </w:r>
      <w:r>
        <w:rPr>
          <w:rFonts w:ascii="仿宋_GB2312" w:hAnsi="仿宋_GB2312" w:eastAsia="仿宋_GB2312" w:cs="仿宋_GB2312"/>
          <w:color w:val="auto"/>
          <w:sz w:val="32"/>
          <w:szCs w:val="32"/>
          <w:highlight w:val="none"/>
        </w:rPr>
        <w:t>住房城乡建设</w:t>
      </w:r>
      <w:r>
        <w:rPr>
          <w:rFonts w:hint="eastAsia" w:ascii="仿宋_GB2312" w:hAnsi="仿宋_GB2312" w:eastAsia="仿宋_GB2312" w:cs="仿宋_GB2312"/>
          <w:color w:val="auto"/>
          <w:sz w:val="32"/>
          <w:szCs w:val="32"/>
          <w:highlight w:val="none"/>
        </w:rPr>
        <w:t>局</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州</w:t>
      </w:r>
      <w:r>
        <w:rPr>
          <w:rFonts w:ascii="仿宋_GB2312" w:hAnsi="仿宋_GB2312" w:eastAsia="仿宋_GB2312" w:cs="仿宋_GB2312"/>
          <w:color w:val="auto"/>
          <w:sz w:val="32"/>
          <w:szCs w:val="32"/>
          <w:highlight w:val="none"/>
        </w:rPr>
        <w:t>交通运输</w:t>
      </w:r>
      <w:r>
        <w:rPr>
          <w:rFonts w:hint="eastAsia" w:ascii="仿宋_GB2312" w:hAnsi="仿宋_GB2312" w:eastAsia="仿宋_GB2312" w:cs="仿宋_GB2312"/>
          <w:color w:val="auto"/>
          <w:sz w:val="32"/>
          <w:szCs w:val="32"/>
          <w:highlight w:val="none"/>
        </w:rPr>
        <w:t>局</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凯里供电局、</w:t>
      </w:r>
      <w:r>
        <w:rPr>
          <w:rFonts w:hint="eastAsia" w:ascii="仿宋_GB2312" w:eastAsia="仿宋_GB2312"/>
          <w:color w:val="auto"/>
          <w:sz w:val="32"/>
          <w:szCs w:val="32"/>
          <w:highlight w:val="none"/>
        </w:rPr>
        <w:t>移动黔东南分公司、电信黔东南分公司、联通黔东南分公司</w:t>
      </w:r>
    </w:p>
    <w:p>
      <w:pPr>
        <w:pStyle w:val="18"/>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小组职责：</w:t>
      </w:r>
      <w:r>
        <w:rPr>
          <w:rFonts w:ascii="仿宋_GB2312" w:hAnsi="仿宋_GB2312" w:eastAsia="仿宋_GB2312" w:cs="仿宋_GB2312"/>
          <w:color w:val="auto"/>
          <w:sz w:val="32"/>
          <w:szCs w:val="32"/>
          <w:highlight w:val="none"/>
        </w:rPr>
        <w:t>负责现场应急救援处置有关人员基本办公条件和生活保障，协调供电、</w:t>
      </w:r>
      <w:r>
        <w:rPr>
          <w:rFonts w:hint="eastAsia" w:ascii="仿宋_GB2312" w:hAnsi="仿宋_GB2312" w:eastAsia="仿宋_GB2312" w:cs="仿宋_GB2312"/>
          <w:color w:val="auto"/>
          <w:sz w:val="32"/>
          <w:szCs w:val="32"/>
          <w:highlight w:val="none"/>
          <w:lang w:val="en-US" w:eastAsia="zh-CN"/>
        </w:rPr>
        <w:t>能源、</w:t>
      </w:r>
      <w:r>
        <w:rPr>
          <w:rFonts w:ascii="仿宋_GB2312" w:hAnsi="仿宋_GB2312" w:eastAsia="仿宋_GB2312" w:cs="仿宋_GB2312"/>
          <w:color w:val="auto"/>
          <w:sz w:val="32"/>
          <w:szCs w:val="32"/>
          <w:highlight w:val="none"/>
        </w:rPr>
        <w:t>通信等部门，为现场救援提供救援保障。</w:t>
      </w:r>
    </w:p>
    <w:p>
      <w:pPr>
        <w:pStyle w:val="18"/>
        <w:keepNext w:val="0"/>
        <w:keepLines w:val="0"/>
        <w:pageBreakBefore w:val="0"/>
        <w:numPr>
          <w:ilvl w:val="0"/>
          <w:numId w:val="1"/>
        </w:numPr>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事故调查组</w:t>
      </w:r>
    </w:p>
    <w:p>
      <w:pPr>
        <w:keepNext w:val="0"/>
        <w:keepLines w:val="0"/>
        <w:pageBreakBefore w:val="0"/>
        <w:widowControl/>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牵头单位：州生态环境局、属地县（市、开发区）人民政府（管委会）</w:t>
      </w:r>
    </w:p>
    <w:p>
      <w:pPr>
        <w:keepNext w:val="0"/>
        <w:keepLines w:val="0"/>
        <w:pageBreakBefore w:val="0"/>
        <w:widowControl/>
        <w:numPr>
          <w:ilvl w:val="0"/>
          <w:numId w:val="0"/>
        </w:numPr>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参与单位：</w:t>
      </w:r>
      <w:r>
        <w:rPr>
          <w:rFonts w:hint="eastAsia" w:ascii="仿宋_GB2312" w:hAnsi="仿宋_GB2312" w:eastAsia="仿宋_GB2312" w:cs="仿宋_GB2312"/>
          <w:color w:val="auto"/>
          <w:sz w:val="32"/>
          <w:szCs w:val="32"/>
          <w:highlight w:val="none"/>
        </w:rPr>
        <w:t>州</w:t>
      </w:r>
      <w:r>
        <w:rPr>
          <w:rFonts w:ascii="仿宋_GB2312" w:hAnsi="仿宋_GB2312" w:eastAsia="仿宋_GB2312" w:cs="仿宋_GB2312"/>
          <w:color w:val="auto"/>
          <w:sz w:val="32"/>
          <w:szCs w:val="32"/>
          <w:highlight w:val="none"/>
        </w:rPr>
        <w:t>公安</w:t>
      </w:r>
      <w:r>
        <w:rPr>
          <w:rFonts w:hint="eastAsia" w:ascii="仿宋_GB2312" w:hAnsi="仿宋_GB2312" w:eastAsia="仿宋_GB2312" w:cs="仿宋_GB2312"/>
          <w:color w:val="auto"/>
          <w:sz w:val="32"/>
          <w:szCs w:val="32"/>
          <w:highlight w:val="none"/>
        </w:rPr>
        <w:t>局</w:t>
      </w:r>
    </w:p>
    <w:p>
      <w:pPr>
        <w:pStyle w:val="18"/>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小组职责：</w:t>
      </w:r>
      <w:r>
        <w:rPr>
          <w:rFonts w:ascii="仿宋_GB2312" w:hAnsi="仿宋_GB2312" w:eastAsia="仿宋_GB2312" w:cs="仿宋_GB2312"/>
          <w:color w:val="auto"/>
          <w:sz w:val="32"/>
          <w:szCs w:val="32"/>
          <w:highlight w:val="none"/>
        </w:rPr>
        <w:t>负责对事件发生单位和相关监管部门的突发环境事件风险防范、预警响应、应急处置等工作落实情况进行调查，查明事件原因和性质，提出责任认定和对事件发生单位、责任人的处理建议。</w:t>
      </w:r>
    </w:p>
    <w:p>
      <w:pPr>
        <w:pStyle w:val="18"/>
        <w:keepNext w:val="0"/>
        <w:keepLines w:val="0"/>
        <w:pageBreakBefore w:val="0"/>
        <w:numPr>
          <w:ilvl w:val="0"/>
          <w:numId w:val="1"/>
        </w:numPr>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善后处置组</w:t>
      </w:r>
    </w:p>
    <w:p>
      <w:pPr>
        <w:keepNext w:val="0"/>
        <w:keepLines w:val="0"/>
        <w:pageBreakBefore w:val="0"/>
        <w:widowControl/>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牵头单位：属地县（市、开发区）人民政府（管委会）</w:t>
      </w:r>
    </w:p>
    <w:p>
      <w:pPr>
        <w:keepNext w:val="0"/>
        <w:keepLines w:val="0"/>
        <w:pageBreakBefore w:val="0"/>
        <w:widowControl/>
        <w:numPr>
          <w:ilvl w:val="0"/>
          <w:numId w:val="0"/>
        </w:numPr>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参与单位：</w:t>
      </w:r>
      <w:r>
        <w:rPr>
          <w:rFonts w:hint="eastAsia" w:ascii="仿宋_GB2312" w:hAnsi="仿宋_GB2312" w:eastAsia="仿宋_GB2312" w:cs="仿宋_GB2312"/>
          <w:color w:val="auto"/>
          <w:sz w:val="32"/>
          <w:szCs w:val="32"/>
          <w:highlight w:val="none"/>
        </w:rPr>
        <w:t>州应急管理局、州生态环境局、州发展改革委、州财政局、州农业农村局、州卫生健康局、州民政局</w:t>
      </w:r>
    </w:p>
    <w:p>
      <w:pPr>
        <w:pStyle w:val="18"/>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小组职责：</w:t>
      </w:r>
      <w:r>
        <w:rPr>
          <w:rFonts w:ascii="仿宋_GB2312" w:hAnsi="仿宋_GB2312" w:eastAsia="仿宋_GB2312" w:cs="仿宋_GB2312"/>
          <w:color w:val="auto"/>
          <w:sz w:val="32"/>
          <w:szCs w:val="32"/>
          <w:highlight w:val="none"/>
        </w:rPr>
        <w:t>应急处置工作结束后，各级人民政府积极做好受灾人员的安置、受灾范围的评估及恢复工作。妥善安置、救治伤残人员；组织医疗卫生、个体防护、日用品等物资供应部门或单位，对调用物资进行及时清理；清查短缺物资或临时征用物资，根据国家政策予以补偿；协调社会力量，恢复正常生产、生活秩序。</w:t>
      </w:r>
    </w:p>
    <w:p>
      <w:pPr>
        <w:pStyle w:val="18"/>
        <w:keepNext w:val="0"/>
        <w:keepLines w:val="0"/>
        <w:pageBreakBefore w:val="0"/>
        <w:numPr>
          <w:ilvl w:val="0"/>
          <w:numId w:val="1"/>
        </w:numPr>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新闻发布组</w:t>
      </w:r>
    </w:p>
    <w:p>
      <w:pPr>
        <w:keepNext w:val="0"/>
        <w:keepLines w:val="0"/>
        <w:pageBreakBefore w:val="0"/>
        <w:widowControl/>
        <w:numPr>
          <w:ilvl w:val="0"/>
          <w:numId w:val="0"/>
        </w:numPr>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牵头单位：州委宣传部（州政府新闻办）</w:t>
      </w:r>
    </w:p>
    <w:p>
      <w:pPr>
        <w:keepNext w:val="0"/>
        <w:keepLines w:val="0"/>
        <w:pageBreakBefore w:val="0"/>
        <w:widowControl/>
        <w:numPr>
          <w:ilvl w:val="0"/>
          <w:numId w:val="0"/>
        </w:numPr>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参与单位：属地县（市、开发区）人民政府（管委会）、</w:t>
      </w:r>
      <w:r>
        <w:rPr>
          <w:rFonts w:hint="eastAsia" w:ascii="仿宋_GB2312" w:hAnsi="仿宋_GB2312" w:eastAsia="仿宋_GB2312" w:cs="仿宋_GB2312"/>
          <w:color w:val="auto"/>
          <w:sz w:val="32"/>
          <w:szCs w:val="32"/>
          <w:highlight w:val="none"/>
        </w:rPr>
        <w:t>州应急管理局、州生态环境局、州文体广电旅游局</w:t>
      </w:r>
    </w:p>
    <w:p>
      <w:pPr>
        <w:pStyle w:val="18"/>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小组职责：</w:t>
      </w:r>
      <w:r>
        <w:rPr>
          <w:rFonts w:ascii="仿宋_GB2312" w:hAnsi="仿宋_GB2312" w:eastAsia="仿宋_GB2312" w:cs="仿宋_GB2312"/>
          <w:color w:val="auto"/>
          <w:sz w:val="32"/>
          <w:szCs w:val="32"/>
          <w:highlight w:val="none"/>
        </w:rPr>
        <w:t>发布突发环境事件预警及预警终止的信息；通过政府授权发布有关新闻，及时报道应急处置工作情况，做好舆论引导工作等。</w:t>
      </w:r>
    </w:p>
    <w:p>
      <w:pPr>
        <w:pStyle w:val="18"/>
        <w:keepNext w:val="0"/>
        <w:keepLines w:val="0"/>
        <w:pageBreakBefore w:val="0"/>
        <w:kinsoku/>
        <w:wordWrap/>
        <w:overflowPunct/>
        <w:topLinePunct w:val="0"/>
        <w:bidi w:val="0"/>
        <w:snapToGrid/>
        <w:spacing w:line="560" w:lineRule="exact"/>
        <w:ind w:firstLine="643" w:firstLineChars="200"/>
        <w:textAlignment w:val="auto"/>
        <w:outlineLvl w:val="1"/>
        <w:rPr>
          <w:rFonts w:ascii="仿宋_GB2312" w:hAnsi="仿宋_GB2312" w:eastAsia="仿宋_GB2312" w:cs="仿宋_GB2312"/>
          <w:color w:val="auto"/>
          <w:sz w:val="32"/>
          <w:szCs w:val="32"/>
          <w:highlight w:val="none"/>
        </w:rPr>
      </w:pPr>
      <w:bookmarkStart w:id="25" w:name="_Toc725"/>
      <w:r>
        <w:rPr>
          <w:rFonts w:hint="eastAsia" w:ascii="楷体_GB2312" w:hAnsi="楷体_GB2312" w:eastAsia="楷体_GB2312" w:cs="楷体_GB2312"/>
          <w:b/>
          <w:bCs/>
          <w:color w:val="auto"/>
          <w:sz w:val="32"/>
          <w:szCs w:val="32"/>
          <w:highlight w:val="none"/>
          <w:lang w:val="en-US" w:eastAsia="zh-CN"/>
        </w:rPr>
        <w:t xml:space="preserve">2.2 </w:t>
      </w:r>
      <w:r>
        <w:rPr>
          <w:rFonts w:hint="eastAsia" w:ascii="楷体_GB2312" w:hAnsi="楷体_GB2312" w:eastAsia="楷体_GB2312" w:cs="楷体_GB2312"/>
          <w:b/>
          <w:bCs/>
          <w:color w:val="auto"/>
          <w:sz w:val="32"/>
          <w:szCs w:val="32"/>
          <w:highlight w:val="none"/>
        </w:rPr>
        <w:t>县</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市、开发区</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级层面指挥机构</w:t>
      </w:r>
      <w:bookmarkEnd w:id="25"/>
    </w:p>
    <w:p>
      <w:pPr>
        <w:pStyle w:val="18"/>
        <w:keepNext w:val="0"/>
        <w:keepLines w:val="0"/>
        <w:pageBreakBefore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县（市、开发区）人民政府（管委会）</w:t>
      </w:r>
      <w:r>
        <w:rPr>
          <w:rFonts w:hint="eastAsia" w:ascii="仿宋_GB2312" w:hAnsi="仿宋_GB2312" w:eastAsia="仿宋_GB2312" w:cs="仿宋_GB2312"/>
          <w:color w:val="auto"/>
          <w:sz w:val="32"/>
          <w:szCs w:val="32"/>
          <w:highlight w:val="none"/>
        </w:rPr>
        <w:t>参照州级层面应急指挥机构成立本级突发环境事件应急组织指挥机构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并确立机构成员单位及相应职责。</w:t>
      </w:r>
    </w:p>
    <w:p>
      <w:pPr>
        <w:pStyle w:val="18"/>
        <w:keepNext w:val="0"/>
        <w:keepLines w:val="0"/>
        <w:pageBreakBefore w:val="0"/>
        <w:kinsoku/>
        <w:wordWrap/>
        <w:overflowPunct/>
        <w:topLinePunct w:val="0"/>
        <w:bidi w:val="0"/>
        <w:snapToGrid/>
        <w:spacing w:line="560" w:lineRule="exact"/>
        <w:ind w:firstLine="640" w:firstLineChars="200"/>
        <w:textAlignment w:val="auto"/>
        <w:outlineLvl w:val="0"/>
        <w:rPr>
          <w:rFonts w:hint="eastAsia" w:ascii="黑体" w:hAnsi="黑体" w:eastAsia="黑体" w:cs="黑体"/>
          <w:color w:val="auto"/>
          <w:sz w:val="32"/>
          <w:szCs w:val="32"/>
          <w:highlight w:val="none"/>
        </w:rPr>
      </w:pPr>
      <w:bookmarkStart w:id="26" w:name="_Toc16975"/>
      <w:r>
        <w:rPr>
          <w:rFonts w:hint="eastAsia" w:ascii="黑体" w:hAnsi="黑体" w:eastAsia="黑体" w:cs="黑体"/>
          <w:color w:val="auto"/>
          <w:sz w:val="32"/>
          <w:szCs w:val="32"/>
          <w:highlight w:val="none"/>
        </w:rPr>
        <w:t>三、监测预警</w:t>
      </w:r>
      <w:bookmarkEnd w:id="26"/>
    </w:p>
    <w:p>
      <w:pPr>
        <w:pStyle w:val="18"/>
        <w:keepNext w:val="0"/>
        <w:keepLines w:val="0"/>
        <w:pageBreakBefore w:val="0"/>
        <w:kinsoku/>
        <w:wordWrap/>
        <w:overflowPunct/>
        <w:topLinePunct w:val="0"/>
        <w:bidi w:val="0"/>
        <w:snapToGrid/>
        <w:spacing w:line="560" w:lineRule="exact"/>
        <w:ind w:firstLine="642"/>
        <w:textAlignment w:val="auto"/>
        <w:outlineLvl w:val="1"/>
        <w:rPr>
          <w:rFonts w:hint="eastAsia" w:ascii="楷体_GB2312" w:hAnsi="楷体_GB2312" w:eastAsia="楷体_GB2312" w:cs="楷体_GB2312"/>
          <w:b/>
          <w:bCs/>
          <w:color w:val="auto"/>
          <w:sz w:val="32"/>
          <w:szCs w:val="32"/>
          <w:highlight w:val="none"/>
        </w:rPr>
      </w:pPr>
      <w:bookmarkStart w:id="27" w:name="_Toc19473"/>
      <w:r>
        <w:rPr>
          <w:rFonts w:hint="eastAsia" w:ascii="楷体_GB2312" w:hAnsi="楷体_GB2312" w:eastAsia="楷体_GB2312" w:cs="楷体_GB2312"/>
          <w:b/>
          <w:bCs/>
          <w:color w:val="auto"/>
          <w:sz w:val="32"/>
          <w:szCs w:val="32"/>
          <w:highlight w:val="none"/>
          <w:lang w:val="en-US" w:eastAsia="zh-CN"/>
        </w:rPr>
        <w:t xml:space="preserve">3.1 </w:t>
      </w:r>
      <w:r>
        <w:rPr>
          <w:rFonts w:hint="eastAsia" w:ascii="楷体_GB2312" w:hAnsi="楷体_GB2312" w:eastAsia="楷体_GB2312" w:cs="楷体_GB2312"/>
          <w:b/>
          <w:bCs/>
          <w:color w:val="auto"/>
          <w:sz w:val="32"/>
          <w:szCs w:val="32"/>
          <w:highlight w:val="none"/>
        </w:rPr>
        <w:t>风险监测</w:t>
      </w:r>
      <w:bookmarkEnd w:id="27"/>
    </w:p>
    <w:p>
      <w:pPr>
        <w:pStyle w:val="18"/>
        <w:keepNext w:val="0"/>
        <w:keepLines w:val="0"/>
        <w:pageBreakBefore w:val="0"/>
        <w:kinsoku/>
        <w:wordWrap/>
        <w:overflowPunct/>
        <w:topLinePunct w:val="0"/>
        <w:bidi w:val="0"/>
        <w:snapToGrid/>
        <w:spacing w:line="560" w:lineRule="exact"/>
        <w:ind w:firstLine="642"/>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1.各级生态环境部门负责辖区内潜在风险源的调查汇总，实行分类管理，健全风险防控措施。</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2.县级以上人民政府要充分利用生态环境部门现有监测手段及网络系统，建立突发环境事件监测、预测和预警信息反馈机制。</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各级生态环境部门要及时采集、整理、分析和研判区域内突发环境事件相关信息，及时向本级突发环境事件应急指挥机构报告，必要时，及时向上一级突发环境事件应急指挥机构报告，并定期向社会公布。重点对以下对象进行监测监控：</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（1）居民聚集区、医院、学校等敏感区域。</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（2）饮用水水源地、江河源头区、重要水源涵养区、水土保持重点预防保护区和重点监督区、生物多样性丰富区以及重要生态功能区。</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（3）国家级自然保护区、国家级风景名胜区、国家级文物保护单位和世界自然遗产地等区域。</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（4）向环境排放污染物的企事业单位及其周边环境保护目标。</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（5）危险化学品和重金属的生产、经营、储存、使用、运输、管理单位及其周边环境保护目标。</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（6）放射源的贮存、使用、管理单位。</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4.县级以上人民政府及其有关部门负责突发环境事件信息的接收、报告、处理、统计分析，信息监控。</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县级以上人民政府及其承担监管职责的部门负责有可能引发突发环境事件的自然灾害、事故灾难信息的接收、报告、处理、统计分析，并对相应的预警信息进行监控。</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）生态环境部门负责</w:t>
      </w:r>
      <w:r>
        <w:rPr>
          <w:rFonts w:hint="eastAsia" w:ascii="仿宋_GB2312" w:hAnsi="仿宋_GB2312" w:eastAsia="仿宋_GB2312" w:cs="仿宋_GB2312"/>
          <w:color w:val="auto"/>
          <w:sz w:val="32"/>
          <w:szCs w:val="32"/>
          <w:highlight w:val="none"/>
          <w:lang w:val="en-US" w:eastAsia="zh-CN"/>
        </w:rPr>
        <w:t>大气、水体、土壤等</w:t>
      </w:r>
      <w:r>
        <w:rPr>
          <w:rFonts w:hint="eastAsia" w:ascii="仿宋_GB2312" w:hAnsi="仿宋_GB2312" w:eastAsia="仿宋_GB2312" w:cs="仿宋_GB2312"/>
          <w:color w:val="auto"/>
          <w:sz w:val="32"/>
          <w:szCs w:val="32"/>
          <w:highlight w:val="none"/>
        </w:rPr>
        <w:t>环境污染事件</w:t>
      </w:r>
      <w:r>
        <w:rPr>
          <w:rFonts w:hint="eastAsia" w:ascii="仿宋_GB2312" w:hAnsi="仿宋_GB2312" w:eastAsia="仿宋_GB2312" w:cs="仿宋_GB2312"/>
          <w:color w:val="auto"/>
          <w:sz w:val="32"/>
          <w:szCs w:val="32"/>
          <w:highlight w:val="none"/>
          <w:lang w:val="en-US" w:eastAsia="zh-CN"/>
        </w:rPr>
        <w:t>以及</w:t>
      </w:r>
      <w:r>
        <w:rPr>
          <w:rFonts w:hint="eastAsia" w:ascii="仿宋_GB2312" w:hAnsi="仿宋_GB2312" w:eastAsia="仿宋_GB2312" w:cs="仿宋_GB2312"/>
          <w:color w:val="auto"/>
          <w:sz w:val="32"/>
          <w:szCs w:val="32"/>
          <w:highlight w:val="none"/>
        </w:rPr>
        <w:t>放射性物质泄漏导致的辐射事件信息的接收处理及预警信息监控，会同水务、气象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林业</w:t>
      </w:r>
      <w:r>
        <w:rPr>
          <w:rFonts w:hint="eastAsia" w:ascii="仿宋_GB2312" w:hAnsi="仿宋_GB2312" w:eastAsia="仿宋_GB2312" w:cs="仿宋_GB2312"/>
          <w:color w:val="auto"/>
          <w:sz w:val="32"/>
          <w:szCs w:val="32"/>
          <w:highlight w:val="none"/>
        </w:rPr>
        <w:t>等部门负责</w:t>
      </w:r>
      <w:r>
        <w:rPr>
          <w:rFonts w:hint="eastAsia" w:ascii="仿宋_GB2312" w:hAnsi="仿宋_GB2312" w:eastAsia="仿宋_GB2312" w:cs="仿宋_GB2312"/>
          <w:color w:val="auto"/>
          <w:sz w:val="32"/>
          <w:szCs w:val="32"/>
          <w:highlight w:val="none"/>
          <w:lang w:val="en-US" w:eastAsia="zh-CN"/>
        </w:rPr>
        <w:t>突发环境事件的应急处置</w:t>
      </w:r>
      <w:r>
        <w:rPr>
          <w:rFonts w:hint="eastAsia" w:ascii="仿宋_GB2312" w:hAnsi="仿宋_GB2312" w:eastAsia="仿宋_GB2312" w:cs="仿宋_GB2312"/>
          <w:color w:val="auto"/>
          <w:sz w:val="32"/>
          <w:szCs w:val="32"/>
          <w:highlight w:val="none"/>
        </w:rPr>
        <w:t>及信息</w:t>
      </w:r>
      <w:r>
        <w:rPr>
          <w:rFonts w:hint="eastAsia" w:ascii="仿宋_GB2312" w:hAnsi="仿宋_GB2312" w:eastAsia="仿宋_GB2312" w:cs="仿宋_GB2312"/>
          <w:color w:val="auto"/>
          <w:sz w:val="32"/>
          <w:szCs w:val="32"/>
          <w:highlight w:val="none"/>
          <w:lang w:val="en-US" w:eastAsia="zh-CN"/>
        </w:rPr>
        <w:t>报送等工作</w:t>
      </w:r>
      <w:r>
        <w:rPr>
          <w:rFonts w:hint="eastAsia" w:ascii="仿宋_GB2312" w:hAnsi="仿宋_GB2312" w:eastAsia="仿宋_GB2312" w:cs="仿宋_GB2312"/>
          <w:color w:val="auto"/>
          <w:sz w:val="32"/>
          <w:szCs w:val="32"/>
          <w:highlight w:val="none"/>
        </w:rPr>
        <w:t>。</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）交通运输部门负责公路、水路运输领域危险化学品运输污染事件的信息接报，并通报生态环境部门，生态环境部门协助交通运输部门对相应的预警信息进行监控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并组织相应部门开展应急响应工作</w:t>
      </w:r>
      <w:r>
        <w:rPr>
          <w:rFonts w:hint="eastAsia" w:ascii="仿宋_GB2312" w:hAnsi="仿宋_GB2312" w:eastAsia="仿宋_GB2312" w:cs="仿宋_GB2312"/>
          <w:color w:val="auto"/>
          <w:sz w:val="32"/>
          <w:szCs w:val="32"/>
          <w:highlight w:val="none"/>
        </w:rPr>
        <w:t>。</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（4）各级生态环境部门应第一时间向承担应急救援</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相关主管部门通报风险源分布情况及监测信息。</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企事业单位和其他生产经营者落实环境安全主体责任，定期排查环境安全隐患，开展环境风险评估，健全风险防控措施，按照相关规定开展突发环境事件应急预案的编制、备案工作。当出现可能导致突发环境事件的情况时，要立即报告当地生态环境主管部门。</w:t>
      </w:r>
    </w:p>
    <w:p>
      <w:pPr>
        <w:pStyle w:val="18"/>
        <w:keepNext w:val="0"/>
        <w:keepLines w:val="0"/>
        <w:pageBreakBefore w:val="0"/>
        <w:kinsoku/>
        <w:wordWrap/>
        <w:overflowPunct/>
        <w:topLinePunct w:val="0"/>
        <w:bidi w:val="0"/>
        <w:snapToGrid/>
        <w:spacing w:line="560" w:lineRule="exact"/>
        <w:ind w:firstLine="643" w:firstLineChars="200"/>
        <w:textAlignment w:val="auto"/>
        <w:outlineLvl w:val="1"/>
        <w:rPr>
          <w:rFonts w:hint="default" w:ascii="楷体_GB2312" w:hAnsi="楷体_GB2312" w:eastAsia="楷体_GB2312" w:cs="楷体_GB2312"/>
          <w:b/>
          <w:bCs/>
          <w:color w:val="auto"/>
          <w:sz w:val="32"/>
          <w:szCs w:val="32"/>
          <w:highlight w:val="none"/>
          <w:lang w:val="en-US" w:eastAsia="zh-CN"/>
        </w:rPr>
      </w:pPr>
      <w:bookmarkStart w:id="28" w:name="_Toc28400"/>
      <w:r>
        <w:rPr>
          <w:rFonts w:hint="eastAsia" w:ascii="楷体_GB2312" w:hAnsi="楷体_GB2312" w:eastAsia="楷体_GB2312" w:cs="楷体_GB2312"/>
          <w:b/>
          <w:bCs/>
          <w:color w:val="auto"/>
          <w:sz w:val="32"/>
          <w:szCs w:val="32"/>
          <w:highlight w:val="none"/>
          <w:lang w:val="en-US" w:eastAsia="zh-CN"/>
        </w:rPr>
        <w:t xml:space="preserve">3.2 </w:t>
      </w:r>
      <w:r>
        <w:rPr>
          <w:rFonts w:hint="eastAsia" w:ascii="楷体_GB2312" w:hAnsi="楷体_GB2312" w:eastAsia="楷体_GB2312" w:cs="楷体_GB2312"/>
          <w:b/>
          <w:bCs/>
          <w:color w:val="auto"/>
          <w:sz w:val="32"/>
          <w:szCs w:val="32"/>
          <w:highlight w:val="none"/>
        </w:rPr>
        <w:t>风险预警</w:t>
      </w:r>
      <w:r>
        <w:rPr>
          <w:rFonts w:hint="eastAsia" w:ascii="楷体_GB2312" w:hAnsi="楷体_GB2312" w:eastAsia="楷体_GB2312" w:cs="楷体_GB2312"/>
          <w:b/>
          <w:bCs/>
          <w:color w:val="auto"/>
          <w:sz w:val="32"/>
          <w:szCs w:val="32"/>
          <w:highlight w:val="none"/>
          <w:lang w:val="en-US" w:eastAsia="zh-CN"/>
        </w:rPr>
        <w:t>及发布</w:t>
      </w:r>
      <w:bookmarkEnd w:id="28"/>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根据突发环境事件发生的紧急程度、发展势态和可能造成的危害程度，风险预警分为一级、二级、三级和四级，分别用红色、橙色、黄色和蓝色标示，一级为最高预警级别。</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四级（蓝色）预警：可能发生一般突发环境事件时，启动蓝色预警。</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三级（黄色）预警：可能发生较大突发环境事件时，启动黄色预警。</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二级（橙色）预警：可能发生重大突发环境事件时，启动橙色预警。</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一级（红色）预警：可能发生特别重大突发环境事件时，启动红色预警。</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地方生态环境主管部门研判可能发生突发环境事件时，及时向本级人民政府提出预警信息发布建议，同时通报同级相关部门和单位。地方人民政府或其授权的相关部门</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《贵州省突发事件预警信息发布管理办法（试行）》等有关规定，及时编制、审核和发布预警信息</w:t>
      </w:r>
      <w:r>
        <w:rPr>
          <w:rFonts w:hint="eastAsia" w:ascii="仿宋_GB2312" w:hAnsi="仿宋_GB2312" w:eastAsia="仿宋_GB2312" w:cs="仿宋_GB2312"/>
          <w:color w:val="auto"/>
          <w:sz w:val="32"/>
          <w:szCs w:val="32"/>
          <w:highlight w:val="none"/>
          <w:lang w:eastAsia="zh-CN"/>
        </w:rPr>
        <w:t>（包括突发环境事件类别、预警级别、起始时间、影响范围、警示事项、应采取的措施、发布单位和发布时间等）</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rPr>
        <w:t>通过电视、广播、报纸、互联网、手机短信等渠道或方式向本行政区域公众发布预警信息，并通报可能影响到的相关地区。</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风险预警的</w:t>
      </w:r>
      <w:r>
        <w:rPr>
          <w:rFonts w:hint="eastAsia" w:ascii="仿宋_GB2312" w:hAnsi="仿宋_GB2312" w:eastAsia="仿宋_GB2312" w:cs="仿宋_GB2312"/>
          <w:color w:val="auto"/>
          <w:sz w:val="32"/>
          <w:szCs w:val="32"/>
          <w:highlight w:val="none"/>
        </w:rPr>
        <w:t>具体发布流程</w:t>
      </w:r>
      <w:r>
        <w:rPr>
          <w:rFonts w:hint="eastAsia" w:ascii="仿宋_GB2312" w:hAnsi="仿宋_GB2312" w:eastAsia="仿宋_GB2312" w:cs="仿宋_GB2312"/>
          <w:color w:val="auto"/>
          <w:sz w:val="32"/>
          <w:szCs w:val="32"/>
          <w:highlight w:val="none"/>
          <w:lang w:val="en-US" w:eastAsia="zh-CN"/>
        </w:rPr>
        <w:t>如下所示</w:t>
      </w:r>
      <w:r>
        <w:rPr>
          <w:rFonts w:hint="eastAsia" w:ascii="仿宋_GB2312" w:hAnsi="仿宋_GB2312" w:eastAsia="仿宋_GB2312" w:cs="仿宋_GB2312"/>
          <w:color w:val="auto"/>
          <w:sz w:val="32"/>
          <w:szCs w:val="32"/>
          <w:highlight w:val="none"/>
        </w:rPr>
        <w:t>：</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预警信息内容影响范围超过2个市(州)行政区域或预警级别达到一级(红色)、二级(橙色)，经省生态环境部门核实，报省人民政府批准后，由省级预警发布中心对外发布。</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预警信息内容影响范围超过2个县(市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开发区</w:t>
      </w:r>
      <w:r>
        <w:rPr>
          <w:rFonts w:hint="eastAsia" w:ascii="仿宋_GB2312" w:hAnsi="仿宋_GB2312" w:eastAsia="仿宋_GB2312" w:cs="仿宋_GB2312"/>
          <w:color w:val="auto"/>
          <w:sz w:val="32"/>
          <w:szCs w:val="32"/>
          <w:highlight w:val="none"/>
        </w:rPr>
        <w:t>)行政区域或预警级别达到三级(黄色)，经州级生态环境部门核实，同时报州级人民政府批准后，由州级预警发布中心对外发布。</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预警信息内容影响范围在县级行政区域或预警级别为四级(蓝色)，经县级生态环境部门核实，同时报县级人民政府批准后，由县级预警发布中心对外发布。</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县级以上预警发布中心由气象部门进行管理。发布一级(红色)、二级(橙色)预警信息，必须在15分钟内向社会公众播发；发布三级(黄色)、四级(蓝色)预警信息，必须在30分钟内向社会公众播发。发布内容主要包括：预警类型、预警级别、起始时间、事件原因、影响范围、警示事项、应采取的措施、发布单位、发布时间等。预警信息发布模板见附件3。</w:t>
      </w:r>
    </w:p>
    <w:p>
      <w:pPr>
        <w:pStyle w:val="18"/>
        <w:keepNext w:val="0"/>
        <w:keepLines w:val="0"/>
        <w:pageBreakBefore w:val="0"/>
        <w:kinsoku/>
        <w:wordWrap/>
        <w:overflowPunct/>
        <w:topLinePunct w:val="0"/>
        <w:bidi w:val="0"/>
        <w:snapToGrid/>
        <w:spacing w:line="560" w:lineRule="exact"/>
        <w:ind w:firstLine="643" w:firstLineChars="200"/>
        <w:textAlignment w:val="auto"/>
        <w:outlineLvl w:val="1"/>
        <w:rPr>
          <w:rFonts w:hint="eastAsia" w:ascii="楷体_GB2312" w:hAnsi="楷体_GB2312" w:eastAsia="楷体_GB2312" w:cs="楷体_GB2312"/>
          <w:b/>
          <w:bCs/>
          <w:color w:val="auto"/>
          <w:sz w:val="32"/>
          <w:szCs w:val="32"/>
          <w:highlight w:val="none"/>
        </w:rPr>
      </w:pPr>
      <w:bookmarkStart w:id="29" w:name="_Toc15316"/>
      <w:r>
        <w:rPr>
          <w:rFonts w:hint="eastAsia" w:ascii="楷体_GB2312" w:hAnsi="楷体_GB2312" w:eastAsia="楷体_GB2312" w:cs="楷体_GB2312"/>
          <w:b/>
          <w:bCs/>
          <w:color w:val="auto"/>
          <w:sz w:val="32"/>
          <w:szCs w:val="32"/>
          <w:highlight w:val="none"/>
          <w:lang w:val="en-US" w:eastAsia="zh-CN"/>
        </w:rPr>
        <w:t xml:space="preserve">3.3 </w:t>
      </w:r>
      <w:r>
        <w:rPr>
          <w:rFonts w:hint="eastAsia" w:ascii="楷体_GB2312" w:hAnsi="楷体_GB2312" w:eastAsia="楷体_GB2312" w:cs="楷体_GB2312"/>
          <w:b/>
          <w:bCs/>
          <w:color w:val="auto"/>
          <w:sz w:val="32"/>
          <w:szCs w:val="32"/>
          <w:highlight w:val="none"/>
        </w:rPr>
        <w:t>预警响应</w:t>
      </w:r>
      <w:bookmarkEnd w:id="29"/>
    </w:p>
    <w:p>
      <w:pPr>
        <w:pStyle w:val="18"/>
        <w:keepNext w:val="0"/>
        <w:keepLines w:val="0"/>
        <w:pageBreakBefore w:val="0"/>
        <w:kinsoku/>
        <w:wordWrap/>
        <w:overflowPunct/>
        <w:topLinePunct w:val="0"/>
        <w:bidi w:val="0"/>
        <w:snapToGrid/>
        <w:spacing w:line="560" w:lineRule="exact"/>
        <w:ind w:firstLine="643" w:firstLineChars="200"/>
        <w:textAlignment w:val="auto"/>
        <w:outlineLvl w:val="2"/>
        <w:rPr>
          <w:rFonts w:hint="eastAsia" w:ascii="仿宋_GB2312" w:hAnsi="仿宋_GB2312" w:eastAsia="仿宋_GB2312" w:cs="仿宋_GB2312"/>
          <w:b/>
          <w:bCs/>
          <w:color w:val="auto"/>
          <w:sz w:val="32"/>
          <w:szCs w:val="32"/>
          <w:highlight w:val="none"/>
        </w:rPr>
      </w:pPr>
      <w:bookmarkStart w:id="30" w:name="_Toc4817"/>
      <w:r>
        <w:rPr>
          <w:rFonts w:hint="eastAsia" w:ascii="仿宋_GB2312" w:hAnsi="仿宋_GB2312" w:eastAsia="仿宋_GB2312" w:cs="仿宋_GB2312"/>
          <w:b/>
          <w:bCs/>
          <w:color w:val="auto"/>
          <w:sz w:val="32"/>
          <w:szCs w:val="32"/>
          <w:highlight w:val="none"/>
          <w:lang w:val="en-US" w:eastAsia="zh-CN"/>
        </w:rPr>
        <w:t xml:space="preserve">3.3.1 </w:t>
      </w:r>
      <w:r>
        <w:rPr>
          <w:rFonts w:hint="eastAsia" w:ascii="仿宋_GB2312" w:hAnsi="仿宋_GB2312" w:eastAsia="仿宋_GB2312" w:cs="仿宋_GB2312"/>
          <w:b/>
          <w:bCs/>
          <w:color w:val="auto"/>
          <w:sz w:val="32"/>
          <w:szCs w:val="32"/>
          <w:highlight w:val="none"/>
        </w:rPr>
        <w:t>预警</w:t>
      </w:r>
      <w:r>
        <w:rPr>
          <w:rFonts w:hint="eastAsia" w:ascii="仿宋_GB2312" w:hAnsi="仿宋_GB2312" w:eastAsia="仿宋_GB2312" w:cs="仿宋_GB2312"/>
          <w:b/>
          <w:bCs/>
          <w:color w:val="auto"/>
          <w:sz w:val="32"/>
          <w:szCs w:val="32"/>
          <w:highlight w:val="none"/>
          <w:lang w:val="en-US" w:eastAsia="zh-CN"/>
        </w:rPr>
        <w:t>响应</w:t>
      </w:r>
      <w:r>
        <w:rPr>
          <w:rFonts w:hint="eastAsia" w:ascii="仿宋_GB2312" w:hAnsi="仿宋_GB2312" w:eastAsia="仿宋_GB2312" w:cs="仿宋_GB2312"/>
          <w:b/>
          <w:bCs/>
          <w:color w:val="auto"/>
          <w:sz w:val="32"/>
          <w:szCs w:val="32"/>
          <w:highlight w:val="none"/>
        </w:rPr>
        <w:t>措施</w:t>
      </w:r>
      <w:bookmarkEnd w:id="30"/>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预警信息发布后，县级以上政府及其有关部门</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视</w:t>
      </w:r>
      <w:r>
        <w:rPr>
          <w:rFonts w:hint="eastAsia" w:ascii="仿宋_GB2312" w:hAnsi="仿宋_GB2312" w:eastAsia="仿宋_GB2312" w:cs="仿宋_GB2312"/>
          <w:color w:val="auto"/>
          <w:sz w:val="32"/>
          <w:szCs w:val="32"/>
          <w:highlight w:val="none"/>
          <w:lang w:val="en-US" w:eastAsia="zh-CN"/>
        </w:rPr>
        <w:t>情</w:t>
      </w:r>
      <w:r>
        <w:rPr>
          <w:rFonts w:hint="eastAsia" w:ascii="仿宋_GB2312" w:hAnsi="仿宋_GB2312" w:eastAsia="仿宋_GB2312" w:cs="仿宋_GB2312"/>
          <w:color w:val="auto"/>
          <w:sz w:val="32"/>
          <w:szCs w:val="32"/>
          <w:highlight w:val="none"/>
        </w:rPr>
        <w:t>采取以下措施：</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（1）分析研判。组织有关部门和机构、专业技术人员及专家，随时对突发环境事件进行分析和评估，预测发生突发环境事件可能性的大小、影响范围和强度以及可能发生的突发环境事件的级别。</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（2）防范处置。迅速采取有效处置措施，控制事件苗头。在涉险区域设置注意事项提示或事件危害警告标志，利用各种渠道增加宣传频次，告知公众避险和减轻危害的常识、需采取的必要的健康防护措施。</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应急准备。根据事件发展的紧急程度、趋势和范围，提前疏散、转移可能受到危害的人员，并进行妥善安置。责令应急救援队伍、负有特定职责的人员进入待命状态，动员后备人员做好参加应急救援和处置工作的准备，并调集应急所需物资和设备，做好应急保障工作。对可能导致突发环境事件发生的相关企业事业单位和其他生产经营者加强环境监管，必要时可对其实行停运、限产、停产等相应措施，封闭、隔离或者限制使用有关场所，中止或限制可能导致危害扩大的行为和活动。通知可能受污染的毗邻市（州）、县（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开发区</w:t>
      </w:r>
      <w:r>
        <w:rPr>
          <w:rFonts w:hint="eastAsia" w:ascii="仿宋_GB2312" w:hAnsi="仿宋_GB2312" w:eastAsia="仿宋_GB2312" w:cs="仿宋_GB2312"/>
          <w:color w:val="auto"/>
          <w:sz w:val="32"/>
          <w:szCs w:val="32"/>
          <w:highlight w:val="none"/>
        </w:rPr>
        <w:t>）及河流流域下游人民政府，做好应急准备。</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（4）舆论引导。及时准确发布事态最新情况，公布咨询电话，组织专家解读。加强相关舆情监测，做好舆论引导工作。</w:t>
      </w:r>
    </w:p>
    <w:p>
      <w:pPr>
        <w:pStyle w:val="18"/>
        <w:keepNext w:val="0"/>
        <w:keepLines w:val="0"/>
        <w:pageBreakBefore w:val="0"/>
        <w:kinsoku/>
        <w:wordWrap/>
        <w:overflowPunct/>
        <w:topLinePunct w:val="0"/>
        <w:bidi w:val="0"/>
        <w:snapToGrid/>
        <w:spacing w:line="560" w:lineRule="exact"/>
        <w:ind w:firstLine="643" w:firstLineChars="200"/>
        <w:textAlignment w:val="auto"/>
        <w:outlineLvl w:val="2"/>
        <w:rPr>
          <w:rFonts w:ascii="仿宋_GB2312" w:hAnsi="仿宋_GB2312" w:eastAsia="仿宋_GB2312" w:cs="仿宋_GB2312"/>
          <w:b/>
          <w:bCs/>
          <w:color w:val="auto"/>
          <w:sz w:val="32"/>
          <w:szCs w:val="32"/>
          <w:highlight w:val="none"/>
        </w:rPr>
      </w:pPr>
      <w:bookmarkStart w:id="31" w:name="_Toc31308"/>
      <w:r>
        <w:rPr>
          <w:rFonts w:hint="eastAsia" w:ascii="仿宋_GB2312" w:hAnsi="仿宋_GB2312" w:eastAsia="仿宋_GB2312" w:cs="仿宋_GB2312"/>
          <w:b/>
          <w:bCs/>
          <w:color w:val="auto"/>
          <w:sz w:val="32"/>
          <w:szCs w:val="32"/>
          <w:highlight w:val="none"/>
          <w:lang w:val="en-US" w:eastAsia="zh-CN"/>
        </w:rPr>
        <w:t>3.3.</w:t>
      </w:r>
      <w:r>
        <w:rPr>
          <w:rFonts w:hint="eastAsia" w:ascii="仿宋_GB2312" w:hAnsi="仿宋_GB2312" w:eastAsia="仿宋_GB2312" w:cs="仿宋_GB2312"/>
          <w:b/>
          <w:bCs/>
          <w:color w:val="auto"/>
          <w:sz w:val="32"/>
          <w:szCs w:val="32"/>
          <w:highlight w:val="none"/>
        </w:rPr>
        <w:t>2</w:t>
      </w:r>
      <w:r>
        <w:rPr>
          <w:rFonts w:hint="eastAsia" w:ascii="仿宋_GB2312" w:hAnsi="仿宋_GB2312" w:eastAsia="仿宋_GB2312" w:cs="仿宋_GB2312"/>
          <w:b/>
          <w:bCs/>
          <w:color w:val="auto"/>
          <w:sz w:val="32"/>
          <w:szCs w:val="32"/>
          <w:highlight w:val="none"/>
          <w:lang w:val="en-US" w:eastAsia="zh-CN"/>
        </w:rPr>
        <w:t xml:space="preserve"> </w:t>
      </w:r>
      <w:r>
        <w:rPr>
          <w:rFonts w:ascii="仿宋_GB2312" w:hAnsi="仿宋_GB2312" w:eastAsia="仿宋_GB2312" w:cs="仿宋_GB2312"/>
          <w:b/>
          <w:bCs/>
          <w:color w:val="auto"/>
          <w:sz w:val="32"/>
          <w:szCs w:val="32"/>
          <w:highlight w:val="none"/>
        </w:rPr>
        <w:t>预警等级调整和预警终止</w:t>
      </w:r>
      <w:bookmarkEnd w:id="31"/>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事态发展和采取措施的效果，组织相关成员单位、专家进行会商，分析评估突发环境事件的现状、潜势。当采取的措施不能有效控制事态发展，事态持续恶化时，适当提高预警等级；当现场不满足已发布的突发环境事件预警条件或判断事件无继发可能时，降低预警级别信息或解除预警，终止相关措施。</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四级（蓝色）预警自动解除，其他级别的预警解除由当地政府批准后解除。预警解除程序与预警发布程序一致。</w:t>
      </w:r>
    </w:p>
    <w:p>
      <w:pPr>
        <w:pStyle w:val="18"/>
        <w:keepNext w:val="0"/>
        <w:keepLines w:val="0"/>
        <w:pageBreakBefore w:val="0"/>
        <w:kinsoku/>
        <w:wordWrap/>
        <w:overflowPunct/>
        <w:topLinePunct w:val="0"/>
        <w:bidi w:val="0"/>
        <w:snapToGrid/>
        <w:spacing w:line="560" w:lineRule="exact"/>
        <w:ind w:firstLine="640" w:firstLineChars="200"/>
        <w:textAlignment w:val="auto"/>
        <w:outlineLvl w:val="0"/>
        <w:rPr>
          <w:rFonts w:hint="eastAsia" w:ascii="黑体" w:hAnsi="黑体" w:eastAsia="黑体" w:cs="黑体"/>
          <w:color w:val="auto"/>
          <w:sz w:val="32"/>
          <w:szCs w:val="32"/>
          <w:highlight w:val="none"/>
        </w:rPr>
      </w:pPr>
      <w:bookmarkStart w:id="32" w:name="_Toc20025"/>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、信息报告</w:t>
      </w:r>
      <w:bookmarkEnd w:id="32"/>
    </w:p>
    <w:p>
      <w:pPr>
        <w:pStyle w:val="18"/>
        <w:keepNext w:val="0"/>
        <w:keepLines w:val="0"/>
        <w:pageBreakBefore w:val="0"/>
        <w:kinsoku/>
        <w:wordWrap/>
        <w:overflowPunct/>
        <w:topLinePunct w:val="0"/>
        <w:bidi w:val="0"/>
        <w:snapToGrid/>
        <w:spacing w:line="560" w:lineRule="exact"/>
        <w:ind w:firstLine="643" w:firstLineChars="200"/>
        <w:textAlignment w:val="auto"/>
        <w:outlineLvl w:val="1"/>
        <w:rPr>
          <w:rFonts w:hint="eastAsia" w:ascii="楷体_GB2312" w:hAnsi="楷体_GB2312" w:eastAsia="楷体_GB2312" w:cs="楷体_GB2312"/>
          <w:b/>
          <w:bCs/>
          <w:color w:val="auto"/>
          <w:sz w:val="32"/>
          <w:szCs w:val="32"/>
          <w:highlight w:val="none"/>
        </w:rPr>
      </w:pPr>
      <w:bookmarkStart w:id="33" w:name="_Toc1093"/>
      <w:r>
        <w:rPr>
          <w:rFonts w:hint="eastAsia" w:ascii="楷体_GB2312" w:hAnsi="楷体_GB2312" w:eastAsia="楷体_GB2312" w:cs="楷体_GB2312"/>
          <w:b/>
          <w:bCs/>
          <w:color w:val="auto"/>
          <w:sz w:val="32"/>
          <w:szCs w:val="32"/>
          <w:highlight w:val="none"/>
          <w:lang w:val="en-US" w:eastAsia="zh-CN"/>
        </w:rPr>
        <w:t xml:space="preserve">4.1 </w:t>
      </w:r>
      <w:r>
        <w:rPr>
          <w:rFonts w:hint="eastAsia" w:ascii="楷体_GB2312" w:hAnsi="楷体_GB2312" w:eastAsia="楷体_GB2312" w:cs="楷体_GB2312"/>
          <w:b/>
          <w:bCs/>
          <w:color w:val="auto"/>
          <w:sz w:val="32"/>
          <w:szCs w:val="32"/>
          <w:highlight w:val="none"/>
        </w:rPr>
        <w:t>基本要求</w:t>
      </w:r>
      <w:bookmarkEnd w:id="33"/>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宋体" w:eastAsia="仿宋_GB2312" w:cs="宋体"/>
          <w:color w:val="auto"/>
          <w:sz w:val="32"/>
          <w:szCs w:val="32"/>
          <w:highlight w:val="none"/>
        </w:rPr>
      </w:pPr>
      <w:r>
        <w:rPr>
          <w:rFonts w:hint="eastAsia" w:ascii="仿宋_GB2312" w:hAnsi="仿宋_GB2312" w:eastAsia="仿宋_GB2312" w:cs="仿宋_GB2312"/>
          <w:color w:val="auto"/>
          <w:sz w:val="32"/>
          <w:szCs w:val="32"/>
          <w:highlight w:val="none"/>
        </w:rPr>
        <w:t>突发事件信息报告坚持分类管理、分级负责、属地管理为主的原则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突发环境事件发生后，各有关事发地生态环境部门应立即对事件性质和类别进行初步认定，开展事件先期处置，并按照程序和规定，及时向本级人民政府及上一级生态环境部门报告突发环境事件情况。当突发环境事件涉及或可能涉及相邻行政区域的，事发地人民政府或生态环境主管部门应急及时通报相邻行政区域同级人民政府或生态环境主管部门。</w:t>
      </w:r>
      <w:r>
        <w:rPr>
          <w:rFonts w:hint="eastAsia" w:ascii="仿宋_GB2312" w:hAnsi="宋体" w:eastAsia="仿宋_GB2312" w:cs="宋体"/>
          <w:color w:val="auto"/>
          <w:sz w:val="32"/>
          <w:szCs w:val="32"/>
          <w:highlight w:val="none"/>
        </w:rPr>
        <w:t>地方各级人民政府及其环境保护主管部门应当按照有关规定逐级上报，必要时可越级上报。</w:t>
      </w:r>
    </w:p>
    <w:p>
      <w:pPr>
        <w:pStyle w:val="18"/>
        <w:keepNext w:val="0"/>
        <w:keepLines w:val="0"/>
        <w:pageBreakBefore w:val="0"/>
        <w:kinsoku/>
        <w:wordWrap/>
        <w:overflowPunct/>
        <w:topLinePunct w:val="0"/>
        <w:bidi w:val="0"/>
        <w:snapToGrid/>
        <w:spacing w:line="560" w:lineRule="exact"/>
        <w:ind w:firstLine="643" w:firstLineChars="200"/>
        <w:textAlignment w:val="auto"/>
        <w:outlineLvl w:val="1"/>
        <w:rPr>
          <w:rFonts w:hint="eastAsia" w:ascii="楷体_GB2312" w:hAnsi="楷体_GB2312" w:eastAsia="楷体_GB2312" w:cs="楷体_GB2312"/>
          <w:b/>
          <w:bCs/>
          <w:color w:val="auto"/>
          <w:sz w:val="32"/>
          <w:szCs w:val="32"/>
          <w:highlight w:val="none"/>
        </w:rPr>
      </w:pPr>
      <w:bookmarkStart w:id="34" w:name="_Toc6619"/>
      <w:r>
        <w:rPr>
          <w:rFonts w:hint="eastAsia" w:ascii="楷体_GB2312" w:hAnsi="楷体_GB2312" w:eastAsia="楷体_GB2312" w:cs="楷体_GB2312"/>
          <w:b/>
          <w:bCs/>
          <w:color w:val="auto"/>
          <w:sz w:val="32"/>
          <w:szCs w:val="32"/>
          <w:highlight w:val="none"/>
          <w:lang w:val="en-US" w:eastAsia="zh-CN"/>
        </w:rPr>
        <w:t xml:space="preserve">4.2 </w:t>
      </w:r>
      <w:r>
        <w:rPr>
          <w:rFonts w:hint="eastAsia" w:ascii="楷体_GB2312" w:hAnsi="楷体_GB2312" w:eastAsia="楷体_GB2312" w:cs="楷体_GB2312"/>
          <w:b/>
          <w:bCs/>
          <w:color w:val="auto"/>
          <w:sz w:val="32"/>
          <w:szCs w:val="32"/>
          <w:highlight w:val="none"/>
        </w:rPr>
        <w:t>时限要求</w:t>
      </w:r>
      <w:bookmarkEnd w:id="34"/>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突发环境事件责任单位和责任人以及有监管责任的单位发现突发环境事件后，必须立即向所在地生态环境部门报告。</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当发生特别重大、重大突发环境事件时，州级人民政府、事发地</w:t>
      </w:r>
      <w:r>
        <w:rPr>
          <w:rFonts w:hint="eastAsia" w:ascii="仿宋_GB2312" w:hAnsi="仿宋_GB2312" w:eastAsia="仿宋_GB2312" w:cs="仿宋_GB2312"/>
          <w:color w:val="auto"/>
          <w:sz w:val="32"/>
          <w:szCs w:val="32"/>
          <w:highlight w:val="none"/>
          <w:lang w:eastAsia="zh-CN"/>
        </w:rPr>
        <w:t>县（市、开发区）人民政府（管委会）</w:t>
      </w:r>
      <w:r>
        <w:rPr>
          <w:rFonts w:hint="eastAsia" w:ascii="仿宋_GB2312" w:hAnsi="仿宋_GB2312" w:eastAsia="仿宋_GB2312" w:cs="仿宋_GB2312"/>
          <w:color w:val="auto"/>
          <w:sz w:val="32"/>
          <w:szCs w:val="32"/>
          <w:highlight w:val="none"/>
        </w:rPr>
        <w:t>及责任主体部门必须在事件发生后20分钟内电话向省级人民政府报告，40分钟内书面报告。突发环境事件在发展过程中演变为重大及以上级别的，初报时间可从达到最大级别时算起。</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（3）当发生较大级别突发环境事件时，州级人民政府、事发地</w:t>
      </w:r>
      <w:r>
        <w:rPr>
          <w:rFonts w:hint="eastAsia" w:ascii="仿宋_GB2312" w:hAnsi="仿宋_GB2312" w:eastAsia="仿宋_GB2312" w:cs="仿宋_GB2312"/>
          <w:color w:val="auto"/>
          <w:sz w:val="32"/>
          <w:szCs w:val="32"/>
          <w:highlight w:val="none"/>
          <w:lang w:eastAsia="zh-CN"/>
        </w:rPr>
        <w:t>县（市、开发区）人民政府（管委会）</w:t>
      </w:r>
      <w:r>
        <w:rPr>
          <w:rFonts w:hint="eastAsia" w:ascii="仿宋_GB2312" w:hAnsi="仿宋_GB2312" w:eastAsia="仿宋_GB2312" w:cs="仿宋_GB2312"/>
          <w:color w:val="auto"/>
          <w:sz w:val="32"/>
          <w:szCs w:val="32"/>
          <w:highlight w:val="none"/>
        </w:rPr>
        <w:t>及责任主体部门，必须在事件发生后2小时内向省人民政府报告。突发环境事件在发展过程中演变为较大级别的，初报时间可从达到较大级别时算起。</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涉及敏感人群、敏感时间、敏感地点，或突发事件本身比较敏感的（一时无法判明等级的突发环境事件，涉及饮用水源保护区；居民聚居区、学校、医院等敏感区域；涉及重金属或类金属污染；可能产生跨省；可能引发群体事件或社会影响较大的；地方人民政府或生态环境部门认为有必要报告的），突发环境事件信息报告不受级别限制，报告方式和时限按照重大以上级别要求执行。</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）对可能引发舆论炒作的一般级别突发</w:t>
      </w:r>
      <w:r>
        <w:rPr>
          <w:rFonts w:hint="eastAsia" w:ascii="仿宋_GB2312" w:hAnsi="仿宋_GB2312" w:eastAsia="仿宋_GB2312" w:cs="仿宋_GB2312"/>
          <w:color w:val="auto"/>
          <w:sz w:val="32"/>
          <w:szCs w:val="32"/>
          <w:highlight w:val="none"/>
          <w:lang w:val="en-US" w:eastAsia="zh-CN"/>
        </w:rPr>
        <w:t>环境</w:t>
      </w:r>
      <w:r>
        <w:rPr>
          <w:rFonts w:hint="eastAsia" w:ascii="仿宋_GB2312" w:hAnsi="仿宋_GB2312" w:eastAsia="仿宋_GB2312" w:cs="仿宋_GB2312"/>
          <w:color w:val="auto"/>
          <w:sz w:val="32"/>
          <w:szCs w:val="32"/>
          <w:highlight w:val="none"/>
          <w:lang w:eastAsia="zh-CN"/>
        </w:rPr>
        <w:t>事件,要及时向省人民政府报告。尚未达到较大级别的突发事件,但省政府总</w:t>
      </w:r>
      <w:r>
        <w:rPr>
          <w:rFonts w:hint="eastAsia" w:ascii="仿宋_GB2312" w:hAnsi="仿宋_GB2312" w:eastAsia="仿宋_GB2312" w:cs="仿宋_GB2312"/>
          <w:color w:val="auto"/>
          <w:sz w:val="32"/>
          <w:szCs w:val="32"/>
          <w:highlight w:val="none"/>
          <w:lang w:val="en-US" w:eastAsia="zh-CN"/>
        </w:rPr>
        <w:t>指挥部</w:t>
      </w:r>
      <w:r>
        <w:rPr>
          <w:rFonts w:hint="eastAsia" w:ascii="仿宋_GB2312" w:hAnsi="仿宋_GB2312" w:eastAsia="仿宋_GB2312" w:cs="仿宋_GB2312"/>
          <w:color w:val="auto"/>
          <w:sz w:val="32"/>
          <w:szCs w:val="32"/>
          <w:highlight w:val="none"/>
          <w:lang w:eastAsia="zh-CN"/>
        </w:rPr>
        <w:t>要求核报的,州级人民政府、事发地县（市、开发区）人民政府（管委会）及责任主体部门要立即核实并如实报告。</w:t>
      </w:r>
    </w:p>
    <w:p>
      <w:pPr>
        <w:pStyle w:val="18"/>
        <w:keepNext w:val="0"/>
        <w:keepLines w:val="0"/>
        <w:pageBreakBefore w:val="0"/>
        <w:kinsoku/>
        <w:wordWrap/>
        <w:overflowPunct/>
        <w:topLinePunct w:val="0"/>
        <w:bidi w:val="0"/>
        <w:snapToGrid/>
        <w:spacing w:line="560" w:lineRule="exact"/>
        <w:ind w:firstLine="643" w:firstLineChars="200"/>
        <w:textAlignment w:val="auto"/>
        <w:outlineLvl w:val="1"/>
        <w:rPr>
          <w:rFonts w:hint="eastAsia" w:ascii="楷体_GB2312" w:hAnsi="楷体_GB2312" w:eastAsia="楷体_GB2312" w:cs="楷体_GB2312"/>
          <w:b/>
          <w:bCs/>
          <w:color w:val="auto"/>
          <w:sz w:val="32"/>
          <w:szCs w:val="32"/>
          <w:highlight w:val="none"/>
        </w:rPr>
      </w:pPr>
      <w:bookmarkStart w:id="35" w:name="_Toc12285"/>
      <w:bookmarkStart w:id="36" w:name="_Toc2648"/>
      <w:bookmarkStart w:id="37" w:name="_Toc454282983"/>
      <w:r>
        <w:rPr>
          <w:rFonts w:hint="eastAsia" w:ascii="楷体_GB2312" w:hAnsi="楷体_GB2312" w:eastAsia="楷体_GB2312" w:cs="楷体_GB2312"/>
          <w:b/>
          <w:bCs/>
          <w:color w:val="auto"/>
          <w:sz w:val="32"/>
          <w:szCs w:val="32"/>
          <w:highlight w:val="none"/>
          <w:lang w:val="en-US" w:eastAsia="zh-CN"/>
        </w:rPr>
        <w:t xml:space="preserve">4.3 </w:t>
      </w:r>
      <w:r>
        <w:rPr>
          <w:rFonts w:hint="eastAsia" w:ascii="楷体_GB2312" w:hAnsi="楷体_GB2312" w:eastAsia="楷体_GB2312" w:cs="楷体_GB2312"/>
          <w:b/>
          <w:bCs/>
          <w:color w:val="auto"/>
          <w:sz w:val="32"/>
          <w:szCs w:val="32"/>
          <w:highlight w:val="none"/>
        </w:rPr>
        <w:t>报送内容</w:t>
      </w:r>
      <w:bookmarkEnd w:id="35"/>
      <w:bookmarkEnd w:id="36"/>
      <w:bookmarkEnd w:id="37"/>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属地</w:t>
      </w:r>
      <w:r>
        <w:rPr>
          <w:rFonts w:hint="eastAsia" w:ascii="仿宋_GB2312" w:hAnsi="仿宋_GB2312" w:eastAsia="仿宋_GB2312" w:cs="仿宋_GB2312"/>
          <w:color w:val="auto"/>
          <w:sz w:val="32"/>
          <w:szCs w:val="32"/>
          <w:highlight w:val="none"/>
        </w:rPr>
        <w:t>生态环境部门及时将突发环境事件现场情况报送各级突发环境事件应急指挥机构。突发环境事件信息按初报、续报和终报的次序进行报告。</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初报信息包括突发环境事件的类型、发生时间、发生地点、初步原因、主要污染物质和数量、人员伤亡情况、自然保护区受害面积和濒危物种生存环境受到破坏程度、事件潜在危害程度等初步情况及初步采取的措施。</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续报信息是在初报的基础上报告有关确切数据和事件发生的原因、过程、进展情况及采取的应急措施等基本情况。</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处理结果报告是在初报和续报的基础上，报告处理事件的措施、过程和结果，事件潜在或间接的危害、社会影响、处理后的遗留问题，参加处理的有关部门和工作内容，出具有关危害与损失的证明文件等详细情况。</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初报、续报、处理结果报告模板分别见附件4.1、4.2、4.3。</w:t>
      </w:r>
    </w:p>
    <w:p>
      <w:pPr>
        <w:pStyle w:val="18"/>
        <w:keepNext w:val="0"/>
        <w:keepLines w:val="0"/>
        <w:pageBreakBefore w:val="0"/>
        <w:kinsoku/>
        <w:wordWrap/>
        <w:overflowPunct/>
        <w:topLinePunct w:val="0"/>
        <w:bidi w:val="0"/>
        <w:snapToGrid/>
        <w:spacing w:line="560" w:lineRule="exact"/>
        <w:ind w:firstLine="640" w:firstLineChars="200"/>
        <w:textAlignment w:val="auto"/>
        <w:outlineLvl w:val="0"/>
        <w:rPr>
          <w:rFonts w:hint="eastAsia" w:ascii="黑体" w:hAnsi="黑体" w:eastAsia="黑体" w:cs="黑体"/>
          <w:color w:val="auto"/>
          <w:sz w:val="32"/>
          <w:szCs w:val="32"/>
          <w:highlight w:val="none"/>
        </w:rPr>
      </w:pPr>
      <w:bookmarkStart w:id="38" w:name="_Toc23510"/>
      <w:r>
        <w:rPr>
          <w:rFonts w:hint="eastAsia" w:ascii="黑体" w:hAnsi="黑体" w:eastAsia="黑体" w:cs="黑体"/>
          <w:color w:val="auto"/>
          <w:sz w:val="32"/>
          <w:szCs w:val="32"/>
          <w:highlight w:val="none"/>
        </w:rPr>
        <w:t>五、应对响应与处置</w:t>
      </w:r>
      <w:bookmarkEnd w:id="38"/>
    </w:p>
    <w:p>
      <w:pPr>
        <w:pStyle w:val="18"/>
        <w:keepNext w:val="0"/>
        <w:keepLines w:val="0"/>
        <w:pageBreakBefore w:val="0"/>
        <w:kinsoku/>
        <w:wordWrap/>
        <w:overflowPunct/>
        <w:topLinePunct w:val="0"/>
        <w:bidi w:val="0"/>
        <w:snapToGrid/>
        <w:spacing w:line="560" w:lineRule="exact"/>
        <w:ind w:firstLine="643" w:firstLineChars="200"/>
        <w:textAlignment w:val="auto"/>
        <w:outlineLvl w:val="1"/>
        <w:rPr>
          <w:rFonts w:hint="eastAsia" w:ascii="楷体_GB2312" w:hAnsi="楷体_GB2312" w:eastAsia="楷体_GB2312" w:cs="楷体_GB2312"/>
          <w:b/>
          <w:bCs/>
          <w:color w:val="auto"/>
          <w:sz w:val="32"/>
          <w:szCs w:val="32"/>
          <w:highlight w:val="none"/>
        </w:rPr>
      </w:pPr>
      <w:bookmarkStart w:id="39" w:name="_Toc6762"/>
      <w:r>
        <w:rPr>
          <w:rFonts w:hint="eastAsia" w:ascii="楷体_GB2312" w:hAnsi="楷体_GB2312" w:eastAsia="楷体_GB2312" w:cs="楷体_GB2312"/>
          <w:b/>
          <w:bCs/>
          <w:color w:val="auto"/>
          <w:sz w:val="32"/>
          <w:szCs w:val="32"/>
          <w:highlight w:val="none"/>
          <w:lang w:val="en-US" w:eastAsia="zh-CN"/>
        </w:rPr>
        <w:t xml:space="preserve">5.1 </w:t>
      </w:r>
      <w:r>
        <w:rPr>
          <w:rFonts w:hint="eastAsia" w:ascii="楷体_GB2312" w:hAnsi="楷体_GB2312" w:eastAsia="楷体_GB2312" w:cs="楷体_GB2312"/>
          <w:b/>
          <w:bCs/>
          <w:color w:val="auto"/>
          <w:sz w:val="32"/>
          <w:szCs w:val="32"/>
          <w:highlight w:val="none"/>
        </w:rPr>
        <w:t>响应分级</w:t>
      </w:r>
      <w:bookmarkEnd w:id="39"/>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根据突发环境事件的严重程度和发展态势，将应急响应设定为Ⅰ级、Ⅱ级、Ⅲ级和Ⅳ级四个等级。</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初判发生特别重大、重大突发环境事件，分别启动Ⅰ级、Ⅱ级应急响应，由省生态环境安全应急指挥部负责统一组织协调、</w:t>
      </w:r>
      <w:r>
        <w:rPr>
          <w:rFonts w:hint="eastAsia" w:ascii="仿宋_GB2312" w:hAnsi="仿宋_GB2312" w:eastAsia="仿宋_GB2312" w:cs="仿宋_GB2312"/>
          <w:color w:val="auto"/>
          <w:sz w:val="32"/>
          <w:szCs w:val="32"/>
          <w:highlight w:val="none"/>
          <w:lang w:val="en-US" w:eastAsia="zh-CN"/>
        </w:rPr>
        <w:t>黔东南州</w:t>
      </w:r>
      <w:r>
        <w:rPr>
          <w:rFonts w:hint="eastAsia" w:ascii="仿宋_GB2312" w:hAnsi="仿宋_GB2312" w:eastAsia="仿宋_GB2312" w:cs="仿宋_GB2312"/>
          <w:color w:val="auto"/>
          <w:sz w:val="32"/>
          <w:szCs w:val="32"/>
          <w:highlight w:val="none"/>
        </w:rPr>
        <w:t>人民政府在省人民政府的领导下，按照本预案要求组织应急处置工作。其中，涉及跨省级行政区划的，超出省政府应对能力的特别重大或重大突发事件，呈报党中央、国务院负责应对，省政府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州政府</w:t>
      </w:r>
      <w:r>
        <w:rPr>
          <w:rFonts w:hint="eastAsia" w:ascii="仿宋_GB2312" w:hAnsi="仿宋_GB2312" w:eastAsia="仿宋_GB2312" w:cs="仿宋_GB2312"/>
          <w:color w:val="auto"/>
          <w:sz w:val="32"/>
          <w:szCs w:val="32"/>
          <w:highlight w:val="none"/>
        </w:rPr>
        <w:t>协助应对。</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初判发生较大突发环境事件，启动Ⅲ级应急响应，由州级人民政府负责应对工作，其中，跨市（州）的，</w:t>
      </w:r>
      <w:r>
        <w:rPr>
          <w:rFonts w:hint="eastAsia" w:eastAsia="仿宋_GB2312"/>
          <w:color w:val="auto"/>
          <w:sz w:val="30"/>
          <w:szCs w:val="30"/>
          <w:highlight w:val="none"/>
        </w:rPr>
        <w:t>超出市（州）</w:t>
      </w:r>
      <w:r>
        <w:rPr>
          <w:rFonts w:hint="eastAsia" w:ascii="仿宋_GB2312" w:hAnsi="仿宋_GB2312" w:eastAsia="仿宋_GB2312" w:cs="仿宋_GB2312"/>
          <w:color w:val="auto"/>
          <w:sz w:val="32"/>
          <w:szCs w:val="32"/>
          <w:highlight w:val="none"/>
        </w:rPr>
        <w:t>人民政府应对能力的，</w:t>
      </w:r>
      <w:r>
        <w:rPr>
          <w:rFonts w:hint="eastAsia" w:ascii="仿宋_GB2312" w:hAnsi="仿宋_GB2312" w:eastAsia="仿宋_GB2312" w:cs="仿宋_GB2312"/>
          <w:color w:val="auto"/>
          <w:sz w:val="32"/>
          <w:szCs w:val="32"/>
          <w:highlight w:val="none"/>
          <w:lang w:val="en-US" w:eastAsia="zh-CN"/>
        </w:rPr>
        <w:t>由</w:t>
      </w:r>
      <w:r>
        <w:rPr>
          <w:rFonts w:hint="eastAsia" w:ascii="仿宋_GB2312" w:hAnsi="仿宋_GB2312" w:eastAsia="仿宋_GB2312" w:cs="仿宋_GB2312"/>
          <w:color w:val="auto"/>
          <w:sz w:val="32"/>
          <w:szCs w:val="32"/>
          <w:highlight w:val="none"/>
        </w:rPr>
        <w:t>省政府组织指导所涉市（州）人民政府联合应对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也可以直接</w:t>
      </w:r>
      <w:r>
        <w:rPr>
          <w:rFonts w:hint="eastAsia" w:ascii="仿宋_GB2312" w:hAnsi="仿宋_GB2312" w:eastAsia="仿宋_GB2312" w:cs="仿宋_GB2312"/>
          <w:color w:val="auto"/>
          <w:sz w:val="32"/>
          <w:szCs w:val="32"/>
          <w:highlight w:val="none"/>
          <w:lang w:val="en-US" w:eastAsia="zh-CN"/>
        </w:rPr>
        <w:t>负责</w:t>
      </w:r>
      <w:r>
        <w:rPr>
          <w:rFonts w:hint="eastAsia" w:ascii="仿宋_GB2312" w:hAnsi="仿宋_GB2312" w:eastAsia="仿宋_GB2312" w:cs="仿宋_GB2312"/>
          <w:color w:val="auto"/>
          <w:sz w:val="32"/>
          <w:szCs w:val="32"/>
          <w:highlight w:val="none"/>
        </w:rPr>
        <w:t>应对，涉事市（州）人民政府协助应对。</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初判发生一般突发环境事件，启动Ⅳ级应急响应，由事发地</w:t>
      </w:r>
      <w:r>
        <w:rPr>
          <w:rFonts w:hint="eastAsia" w:ascii="仿宋_GB2312" w:hAnsi="仿宋_GB2312" w:eastAsia="仿宋_GB2312" w:cs="仿宋_GB2312"/>
          <w:color w:val="auto"/>
          <w:sz w:val="32"/>
          <w:szCs w:val="32"/>
          <w:highlight w:val="none"/>
          <w:lang w:eastAsia="zh-CN"/>
        </w:rPr>
        <w:t>县（市、开发区）人民政府（管委会）</w:t>
      </w:r>
      <w:r>
        <w:rPr>
          <w:rFonts w:hint="eastAsia" w:ascii="仿宋_GB2312" w:hAnsi="仿宋_GB2312" w:eastAsia="仿宋_GB2312" w:cs="仿宋_GB2312"/>
          <w:color w:val="auto"/>
          <w:sz w:val="32"/>
          <w:szCs w:val="32"/>
          <w:highlight w:val="none"/>
        </w:rPr>
        <w:t>负责应对工作，其中，涉及跨县（市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开发区</w:t>
      </w:r>
      <w:r>
        <w:rPr>
          <w:rFonts w:hint="eastAsia" w:ascii="仿宋_GB2312" w:hAnsi="仿宋_GB2312" w:eastAsia="仿宋_GB2312" w:cs="仿宋_GB2312"/>
          <w:color w:val="auto"/>
          <w:sz w:val="32"/>
          <w:szCs w:val="32"/>
          <w:highlight w:val="none"/>
        </w:rPr>
        <w:t>）的，州人民政府应组织指导涉事</w:t>
      </w:r>
      <w:r>
        <w:rPr>
          <w:rFonts w:hint="eastAsia" w:ascii="仿宋_GB2312" w:hAnsi="仿宋_GB2312" w:eastAsia="仿宋_GB2312" w:cs="仿宋_GB2312"/>
          <w:color w:val="auto"/>
          <w:sz w:val="32"/>
          <w:szCs w:val="32"/>
          <w:highlight w:val="none"/>
          <w:lang w:eastAsia="zh-CN"/>
        </w:rPr>
        <w:t>县（市、开发区）人民政府（管委会）</w:t>
      </w:r>
      <w:r>
        <w:rPr>
          <w:rFonts w:hint="eastAsia" w:ascii="仿宋_GB2312" w:hAnsi="仿宋_GB2312" w:eastAsia="仿宋_GB2312" w:cs="仿宋_GB2312"/>
          <w:color w:val="auto"/>
          <w:sz w:val="32"/>
          <w:szCs w:val="32"/>
          <w:highlight w:val="none"/>
        </w:rPr>
        <w:t>联合应对，也可以直接负责应对，涉事</w:t>
      </w:r>
      <w:r>
        <w:rPr>
          <w:rFonts w:hint="eastAsia" w:ascii="仿宋_GB2312" w:hAnsi="仿宋_GB2312" w:eastAsia="仿宋_GB2312" w:cs="仿宋_GB2312"/>
          <w:color w:val="auto"/>
          <w:sz w:val="32"/>
          <w:szCs w:val="32"/>
          <w:highlight w:val="none"/>
          <w:lang w:eastAsia="zh-CN"/>
        </w:rPr>
        <w:t>县（市、开发区）人民政府（管委会）</w:t>
      </w:r>
      <w:r>
        <w:rPr>
          <w:rFonts w:hint="eastAsia" w:ascii="仿宋_GB2312" w:hAnsi="仿宋_GB2312" w:eastAsia="仿宋_GB2312" w:cs="仿宋_GB2312"/>
          <w:color w:val="auto"/>
          <w:sz w:val="32"/>
          <w:szCs w:val="32"/>
          <w:highlight w:val="none"/>
        </w:rPr>
        <w:t>协助应对。</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殊时段（举行各类重要会议、举办各种重大活动时）、特殊区域（事件影响范围内有环境敏感点、跨界区域等）的突发环境事件，可适当提高响应级别。根据事件发展态势，可适时调整响应级别，避免不足或过度响应。</w:t>
      </w:r>
    </w:p>
    <w:p>
      <w:pPr>
        <w:pStyle w:val="18"/>
        <w:keepNext w:val="0"/>
        <w:keepLines w:val="0"/>
        <w:pageBreakBefore w:val="0"/>
        <w:kinsoku/>
        <w:wordWrap/>
        <w:overflowPunct/>
        <w:topLinePunct w:val="0"/>
        <w:bidi w:val="0"/>
        <w:snapToGrid/>
        <w:spacing w:line="560" w:lineRule="exact"/>
        <w:ind w:firstLine="643" w:firstLineChars="200"/>
        <w:textAlignment w:val="auto"/>
        <w:outlineLvl w:val="1"/>
        <w:rPr>
          <w:rFonts w:hint="eastAsia" w:ascii="楷体_GB2312" w:hAnsi="楷体_GB2312" w:eastAsia="楷体_GB2312" w:cs="楷体_GB2312"/>
          <w:b/>
          <w:bCs/>
          <w:color w:val="auto"/>
          <w:sz w:val="32"/>
          <w:szCs w:val="32"/>
          <w:highlight w:val="none"/>
        </w:rPr>
      </w:pPr>
      <w:bookmarkStart w:id="40" w:name="_Toc12727"/>
      <w:bookmarkStart w:id="41" w:name="_Toc29946"/>
      <w:r>
        <w:rPr>
          <w:rFonts w:hint="eastAsia" w:ascii="楷体_GB2312" w:hAnsi="楷体_GB2312" w:eastAsia="楷体_GB2312" w:cs="楷体_GB2312"/>
          <w:b/>
          <w:bCs/>
          <w:color w:val="auto"/>
          <w:sz w:val="32"/>
          <w:szCs w:val="32"/>
          <w:highlight w:val="none"/>
          <w:lang w:val="en-US" w:eastAsia="zh-CN"/>
        </w:rPr>
        <w:t>5.2 处置</w:t>
      </w:r>
      <w:r>
        <w:rPr>
          <w:rFonts w:hint="eastAsia" w:ascii="楷体_GB2312" w:hAnsi="楷体_GB2312" w:eastAsia="楷体_GB2312" w:cs="楷体_GB2312"/>
          <w:b/>
          <w:bCs/>
          <w:color w:val="auto"/>
          <w:sz w:val="32"/>
          <w:szCs w:val="32"/>
          <w:highlight w:val="none"/>
        </w:rPr>
        <w:t>措施</w:t>
      </w:r>
      <w:bookmarkEnd w:id="40"/>
      <w:bookmarkEnd w:id="41"/>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突发环境事件发生后，各有关地方、部门和单位根据工作需要，组织采取以下措施。</w:t>
      </w:r>
    </w:p>
    <w:p>
      <w:pPr>
        <w:pStyle w:val="18"/>
        <w:keepNext w:val="0"/>
        <w:keepLines w:val="0"/>
        <w:pageBreakBefore w:val="0"/>
        <w:numPr>
          <w:ilvl w:val="0"/>
          <w:numId w:val="2"/>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bookmarkStart w:id="42" w:name="_Toc6898"/>
      <w:r>
        <w:rPr>
          <w:rFonts w:hint="eastAsia" w:ascii="仿宋_GB2312" w:hAnsi="仿宋_GB2312" w:eastAsia="仿宋_GB2312" w:cs="仿宋_GB2312"/>
          <w:color w:val="auto"/>
          <w:sz w:val="32"/>
          <w:szCs w:val="32"/>
          <w:highlight w:val="none"/>
        </w:rPr>
        <w:t>现场污染处置</w:t>
      </w:r>
      <w:bookmarkEnd w:id="42"/>
    </w:p>
    <w:p>
      <w:pPr>
        <w:pStyle w:val="18"/>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涉事企业事业单位或其他生产经营者要立即采取关闭、停产、封堵、围挡、喷淋、转移等措施，切断和控制污染源，防止污染蔓延扩散。做好有毒有害物质和消防废水、废液等的收集、清理和安全处置工作。当涉事企业事业单位或其他生产经营者不明时，由当地生态环境主管部门组织对污染来源开展调查，查明涉事单位，确定污染物种类和污染范围，切断污染源。</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事发地人民政府组织制订综合治污方案，采用监测和模拟等手段追踪污染气体扩散途径和范围；采取拦截、导流、疏浚等形式防止水体污染扩大；采取隔离、吸附、打捞、氧化还原、中和、沉淀、消毒、去污洗消、临时收贮、微生物消解、调水稀释、转移异地处置、临时改造污染处置工艺或临时建设污染处置工程等方法处置污染物。必要时，要求其他排污单位停产、限产、限排，减轻环境污染负荷。各类突发环境受污染事件应急处置措施见附件6。</w:t>
      </w:r>
    </w:p>
    <w:p>
      <w:pPr>
        <w:pStyle w:val="18"/>
        <w:keepNext w:val="0"/>
        <w:keepLines w:val="0"/>
        <w:pageBreakBefore w:val="0"/>
        <w:numPr>
          <w:ilvl w:val="0"/>
          <w:numId w:val="2"/>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bookmarkStart w:id="43" w:name="_Toc2561"/>
      <w:r>
        <w:rPr>
          <w:rFonts w:hint="eastAsia" w:ascii="仿宋_GB2312" w:hAnsi="仿宋_GB2312" w:eastAsia="仿宋_GB2312" w:cs="仿宋_GB2312"/>
          <w:color w:val="auto"/>
          <w:sz w:val="32"/>
          <w:szCs w:val="32"/>
          <w:highlight w:val="none"/>
        </w:rPr>
        <w:t>转移安置人员</w:t>
      </w:r>
      <w:bookmarkEnd w:id="43"/>
    </w:p>
    <w:p>
      <w:pPr>
        <w:pStyle w:val="18"/>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突发环境事件影响及事发当地的气象、地理环境、人员密集度等，建立现场警戒区、交通管制区域和重点防护区域，确定受威胁人员疏散的方式和途径，有组织、有秩序地及时疏散转移受威胁人员和可能受影响地区居民，确保生命安全。妥善做好转移人员安置工作，确保有饭吃、有水喝、有衣穿、有住处和必要医疗条件。</w:t>
      </w:r>
    </w:p>
    <w:p>
      <w:pPr>
        <w:pStyle w:val="18"/>
        <w:keepNext w:val="0"/>
        <w:keepLines w:val="0"/>
        <w:pageBreakBefore w:val="0"/>
        <w:numPr>
          <w:ilvl w:val="0"/>
          <w:numId w:val="2"/>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bookmarkStart w:id="44" w:name="_Toc7776"/>
      <w:r>
        <w:rPr>
          <w:rFonts w:hint="eastAsia" w:ascii="仿宋_GB2312" w:hAnsi="仿宋_GB2312" w:eastAsia="仿宋_GB2312" w:cs="仿宋_GB2312"/>
          <w:color w:val="auto"/>
          <w:sz w:val="32"/>
          <w:szCs w:val="32"/>
          <w:highlight w:val="none"/>
        </w:rPr>
        <w:t>医学救援</w:t>
      </w:r>
      <w:bookmarkEnd w:id="44"/>
    </w:p>
    <w:p>
      <w:pPr>
        <w:pStyle w:val="18"/>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迅速组织当地医疗资源和力量，对伤病员进行诊断治疗，根据需要及时、安全地将重症伤病员转运到有条件的医疗机构加强救治。指导和协助开展受污染人员的去污洗消工作，提出保护公众健康的措施建议。视情增派医疗卫生专家和卫生应急队伍、调配急需医药物资，支持事发地医学救援工作。做好受影响人员的心理援助。</w:t>
      </w:r>
    </w:p>
    <w:p>
      <w:pPr>
        <w:pStyle w:val="18"/>
        <w:keepNext w:val="0"/>
        <w:keepLines w:val="0"/>
        <w:pageBreakBefore w:val="0"/>
        <w:numPr>
          <w:ilvl w:val="0"/>
          <w:numId w:val="2"/>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bookmarkStart w:id="45" w:name="_Toc28492"/>
      <w:r>
        <w:rPr>
          <w:rFonts w:hint="eastAsia" w:ascii="仿宋_GB2312" w:hAnsi="仿宋_GB2312" w:eastAsia="仿宋_GB2312" w:cs="仿宋_GB2312"/>
          <w:color w:val="auto"/>
          <w:sz w:val="32"/>
          <w:szCs w:val="32"/>
          <w:highlight w:val="none"/>
        </w:rPr>
        <w:t>应急监测</w:t>
      </w:r>
      <w:bookmarkEnd w:id="45"/>
    </w:p>
    <w:p>
      <w:pPr>
        <w:pStyle w:val="18"/>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突发环境事件应急监测技术规范（HJ589-2021）》开展应急监测，加强大气、水体、土壤等应急监测工作，根据突发环境事件的污染物种类、性质以及当地自然、社会环境状况等，明确相应的应急监测方案及监测方法，确定监测的布点和频次，调配应急监测设备、车辆，及时准确监测，根据监测结果，综合分析突发环境事件污染变化趋势，并通过专家咨询和讨论的方式，预测并报告突发环境事件的发展情况和污染物的变化情况，及时向应急指挥部上报监测结果，为突发环境事件应急决策提供依据。</w:t>
      </w:r>
    </w:p>
    <w:p>
      <w:pPr>
        <w:pStyle w:val="18"/>
        <w:keepNext w:val="0"/>
        <w:keepLines w:val="0"/>
        <w:pageBreakBefore w:val="0"/>
        <w:numPr>
          <w:ilvl w:val="0"/>
          <w:numId w:val="2"/>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bookmarkStart w:id="46" w:name="_Toc31325"/>
      <w:r>
        <w:rPr>
          <w:rFonts w:hint="eastAsia" w:ascii="仿宋_GB2312" w:hAnsi="仿宋_GB2312" w:eastAsia="仿宋_GB2312" w:cs="仿宋_GB2312"/>
          <w:color w:val="auto"/>
          <w:sz w:val="32"/>
          <w:szCs w:val="32"/>
          <w:highlight w:val="none"/>
        </w:rPr>
        <w:t>市场监管和调控</w:t>
      </w:r>
      <w:bookmarkEnd w:id="46"/>
    </w:p>
    <w:p>
      <w:pPr>
        <w:pStyle w:val="18"/>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密切关注受事件影响地区市场供应情况及公众反应，加强对重要生活必需品等商品的市场监管和调控。禁止或限制受污染食品和饮用水的生产、加工、流通和食用，防范因突发环境事件造成的集体中毒等。</w:t>
      </w:r>
    </w:p>
    <w:p>
      <w:pPr>
        <w:pStyle w:val="18"/>
        <w:keepNext w:val="0"/>
        <w:keepLines w:val="0"/>
        <w:pageBreakBefore w:val="0"/>
        <w:numPr>
          <w:ilvl w:val="0"/>
          <w:numId w:val="2"/>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bookmarkStart w:id="47" w:name="_Toc10206"/>
      <w:r>
        <w:rPr>
          <w:rFonts w:hint="eastAsia" w:ascii="仿宋_GB2312" w:hAnsi="仿宋_GB2312" w:eastAsia="仿宋_GB2312" w:cs="仿宋_GB2312"/>
          <w:color w:val="auto"/>
          <w:sz w:val="32"/>
          <w:szCs w:val="32"/>
          <w:highlight w:val="none"/>
        </w:rPr>
        <w:t>维护社会稳定</w:t>
      </w:r>
      <w:bookmarkEnd w:id="47"/>
    </w:p>
    <w:p>
      <w:pPr>
        <w:pStyle w:val="18"/>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加强受影响地区社会治安管理，严厉打击借机传播谣言制造社会恐慌、哄抢救灾物资等违法犯罪行为；加强转移人员安置点、救灾物资存放点等重点地区治安管控；做好受影响人员与涉事单位、各</w:t>
      </w:r>
      <w:r>
        <w:rPr>
          <w:rFonts w:hint="eastAsia" w:ascii="仿宋_GB2312" w:hAnsi="仿宋_GB2312" w:eastAsia="仿宋_GB2312" w:cs="仿宋_GB2312"/>
          <w:color w:val="auto"/>
          <w:sz w:val="32"/>
          <w:szCs w:val="32"/>
          <w:highlight w:val="none"/>
          <w:lang w:eastAsia="zh-CN"/>
        </w:rPr>
        <w:t>县（市、开发区）人民政府（管委会）</w:t>
      </w:r>
      <w:r>
        <w:rPr>
          <w:rFonts w:hint="eastAsia" w:ascii="仿宋_GB2312" w:hAnsi="仿宋_GB2312" w:eastAsia="仿宋_GB2312" w:cs="仿宋_GB2312"/>
          <w:color w:val="auto"/>
          <w:sz w:val="32"/>
          <w:szCs w:val="32"/>
          <w:highlight w:val="none"/>
        </w:rPr>
        <w:t>及有关部门矛盾纠纷化解和法律服务工作，防止出现群体性事件，维护社会稳定。</w:t>
      </w:r>
    </w:p>
    <w:p>
      <w:pPr>
        <w:pStyle w:val="18"/>
        <w:keepNext w:val="0"/>
        <w:keepLines w:val="0"/>
        <w:pageBreakBefore w:val="0"/>
        <w:kinsoku/>
        <w:wordWrap/>
        <w:overflowPunct/>
        <w:topLinePunct w:val="0"/>
        <w:bidi w:val="0"/>
        <w:snapToGrid/>
        <w:spacing w:line="560" w:lineRule="exact"/>
        <w:ind w:firstLine="643" w:firstLineChars="200"/>
        <w:textAlignment w:val="auto"/>
        <w:outlineLvl w:val="1"/>
        <w:rPr>
          <w:rFonts w:hint="eastAsia" w:ascii="楷体_GB2312" w:hAnsi="楷体_GB2312" w:eastAsia="楷体_GB2312" w:cs="楷体_GB2312"/>
          <w:b/>
          <w:bCs/>
          <w:color w:val="auto"/>
          <w:sz w:val="32"/>
          <w:szCs w:val="32"/>
          <w:highlight w:val="none"/>
        </w:rPr>
      </w:pPr>
      <w:bookmarkStart w:id="48" w:name="_Toc6832"/>
      <w:bookmarkStart w:id="49" w:name="_Toc28198"/>
      <w:r>
        <w:rPr>
          <w:rFonts w:hint="eastAsia" w:ascii="楷体_GB2312" w:hAnsi="楷体_GB2312" w:eastAsia="楷体_GB2312" w:cs="楷体_GB2312"/>
          <w:b/>
          <w:bCs/>
          <w:color w:val="auto"/>
          <w:sz w:val="32"/>
          <w:szCs w:val="32"/>
          <w:highlight w:val="none"/>
          <w:lang w:val="en-US" w:eastAsia="zh-CN"/>
        </w:rPr>
        <w:t xml:space="preserve">5.3 </w:t>
      </w:r>
      <w:r>
        <w:rPr>
          <w:rFonts w:hint="eastAsia" w:ascii="楷体_GB2312" w:hAnsi="楷体_GB2312" w:eastAsia="楷体_GB2312" w:cs="楷体_GB2312"/>
          <w:b/>
          <w:bCs/>
          <w:color w:val="auto"/>
          <w:sz w:val="32"/>
          <w:szCs w:val="32"/>
          <w:highlight w:val="none"/>
        </w:rPr>
        <w:t>信息通报</w:t>
      </w:r>
      <w:bookmarkEnd w:id="48"/>
      <w:bookmarkEnd w:id="49"/>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州、</w:t>
      </w:r>
      <w:r>
        <w:rPr>
          <w:rFonts w:hint="eastAsia" w:ascii="仿宋_GB2312" w:hAnsi="仿宋_GB2312" w:eastAsia="仿宋_GB2312" w:cs="仿宋_GB2312"/>
          <w:color w:val="auto"/>
          <w:sz w:val="32"/>
          <w:szCs w:val="32"/>
          <w:highlight w:val="none"/>
          <w:lang w:eastAsia="zh-CN"/>
        </w:rPr>
        <w:t>县（市、开发区）政府（管委会）</w:t>
      </w:r>
      <w:r>
        <w:rPr>
          <w:rFonts w:hint="eastAsia" w:ascii="仿宋_GB2312" w:hAnsi="仿宋_GB2312" w:eastAsia="仿宋_GB2312" w:cs="仿宋_GB2312"/>
          <w:color w:val="auto"/>
          <w:sz w:val="32"/>
          <w:szCs w:val="32"/>
          <w:highlight w:val="none"/>
        </w:rPr>
        <w:t>在应急响应的同时，应当及时向毗邻和可能</w:t>
      </w:r>
      <w:r>
        <w:rPr>
          <w:rFonts w:hint="eastAsia" w:ascii="仿宋_GB2312" w:hAnsi="仿宋_GB2312" w:eastAsia="仿宋_GB2312" w:cs="仿宋_GB2312"/>
          <w:color w:val="auto"/>
          <w:sz w:val="32"/>
          <w:szCs w:val="32"/>
          <w:highlight w:val="none"/>
          <w:lang w:val="en-US" w:eastAsia="zh-CN"/>
        </w:rPr>
        <w:t>受</w:t>
      </w:r>
      <w:r>
        <w:rPr>
          <w:rFonts w:hint="eastAsia" w:ascii="仿宋_GB2312" w:hAnsi="仿宋_GB2312" w:eastAsia="仿宋_GB2312" w:cs="仿宋_GB2312"/>
          <w:color w:val="auto"/>
          <w:sz w:val="32"/>
          <w:szCs w:val="32"/>
          <w:highlight w:val="none"/>
        </w:rPr>
        <w:t>波及的市（州）、</w:t>
      </w:r>
      <w:r>
        <w:rPr>
          <w:rFonts w:hint="eastAsia" w:ascii="仿宋_GB2312" w:hAnsi="仿宋_GB2312" w:eastAsia="仿宋_GB2312" w:cs="仿宋_GB2312"/>
          <w:color w:val="auto"/>
          <w:sz w:val="32"/>
          <w:szCs w:val="32"/>
          <w:highlight w:val="none"/>
          <w:lang w:eastAsia="zh-CN"/>
        </w:rPr>
        <w:t>县（市、开发区）政府（管委会）</w:t>
      </w:r>
      <w:r>
        <w:rPr>
          <w:rFonts w:hint="eastAsia" w:ascii="仿宋_GB2312" w:hAnsi="仿宋_GB2312" w:eastAsia="仿宋_GB2312" w:cs="仿宋_GB2312"/>
          <w:color w:val="auto"/>
          <w:sz w:val="32"/>
          <w:szCs w:val="32"/>
          <w:highlight w:val="none"/>
        </w:rPr>
        <w:t>通报突发环境事件的情况，如可能影响到邻近省（市），由省政府负责通报。</w:t>
      </w:r>
    </w:p>
    <w:p>
      <w:pPr>
        <w:pStyle w:val="18"/>
        <w:keepNext w:val="0"/>
        <w:keepLines w:val="0"/>
        <w:pageBreakBefore w:val="0"/>
        <w:kinsoku/>
        <w:wordWrap/>
        <w:overflowPunct/>
        <w:topLinePunct w:val="0"/>
        <w:bidi w:val="0"/>
        <w:snapToGrid/>
        <w:spacing w:line="560" w:lineRule="exact"/>
        <w:ind w:firstLine="643" w:firstLineChars="200"/>
        <w:textAlignment w:val="auto"/>
        <w:outlineLvl w:val="1"/>
        <w:rPr>
          <w:rFonts w:hint="eastAsia" w:ascii="楷体_GB2312" w:hAnsi="楷体_GB2312" w:eastAsia="楷体_GB2312" w:cs="楷体_GB2312"/>
          <w:b/>
          <w:bCs/>
          <w:color w:val="auto"/>
          <w:sz w:val="32"/>
          <w:szCs w:val="32"/>
          <w:highlight w:val="none"/>
        </w:rPr>
      </w:pPr>
      <w:bookmarkStart w:id="50" w:name="_Toc23015"/>
      <w:bookmarkStart w:id="51" w:name="_Toc32642"/>
      <w:r>
        <w:rPr>
          <w:rFonts w:hint="eastAsia" w:ascii="楷体_GB2312" w:hAnsi="楷体_GB2312" w:eastAsia="楷体_GB2312" w:cs="楷体_GB2312"/>
          <w:b/>
          <w:bCs/>
          <w:color w:val="auto"/>
          <w:sz w:val="32"/>
          <w:szCs w:val="32"/>
          <w:highlight w:val="none"/>
          <w:lang w:val="en-US" w:eastAsia="zh-CN"/>
        </w:rPr>
        <w:t xml:space="preserve">5.4 </w:t>
      </w:r>
      <w:r>
        <w:rPr>
          <w:rFonts w:hint="eastAsia" w:ascii="楷体_GB2312" w:hAnsi="楷体_GB2312" w:eastAsia="楷体_GB2312" w:cs="楷体_GB2312"/>
          <w:b/>
          <w:bCs/>
          <w:color w:val="auto"/>
          <w:sz w:val="32"/>
          <w:szCs w:val="32"/>
          <w:highlight w:val="none"/>
        </w:rPr>
        <w:t>信息发布</w:t>
      </w:r>
      <w:bookmarkEnd w:id="50"/>
      <w:bookmarkEnd w:id="51"/>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通过政府授权发布、发新闻稿、接受记者采访、举行新闻发布会、组织专家解读等方式，借助电视、广播、报纸、互联网等多种途径，主动、及时、准确、客观向社会发布突发环境事件和应对工作信息，回应社会关切，澄清不实信息，正确引导社会舆论。信息发布内容包括事件原因、污染程度、影响范围、应对措施、需要公众配合采取的措施、公众防范常识和事件调查处理进展情况等。发生重特大或敏感事件时，5小时内要发布权威信息，24小时内举行新闻发布会，根据事件发展趋势，持续做好舆情监测，主动回应社会关切。</w:t>
      </w:r>
    </w:p>
    <w:p>
      <w:pPr>
        <w:pStyle w:val="18"/>
        <w:keepNext w:val="0"/>
        <w:keepLines w:val="0"/>
        <w:pageBreakBefore w:val="0"/>
        <w:kinsoku/>
        <w:wordWrap/>
        <w:overflowPunct/>
        <w:topLinePunct w:val="0"/>
        <w:bidi w:val="0"/>
        <w:snapToGrid/>
        <w:spacing w:line="560" w:lineRule="exact"/>
        <w:ind w:firstLine="643" w:firstLineChars="200"/>
        <w:textAlignment w:val="auto"/>
        <w:outlineLvl w:val="1"/>
        <w:rPr>
          <w:rFonts w:hint="eastAsia" w:ascii="楷体_GB2312" w:hAnsi="楷体_GB2312" w:eastAsia="楷体_GB2312" w:cs="楷体_GB2312"/>
          <w:b/>
          <w:bCs/>
          <w:color w:val="auto"/>
          <w:sz w:val="32"/>
          <w:szCs w:val="32"/>
          <w:highlight w:val="none"/>
        </w:rPr>
      </w:pPr>
      <w:bookmarkStart w:id="52" w:name="_Toc30766"/>
      <w:bookmarkStart w:id="53" w:name="_Toc20069"/>
      <w:r>
        <w:rPr>
          <w:rFonts w:hint="eastAsia" w:ascii="楷体_GB2312" w:hAnsi="楷体_GB2312" w:eastAsia="楷体_GB2312" w:cs="楷体_GB2312"/>
          <w:b/>
          <w:bCs/>
          <w:color w:val="auto"/>
          <w:sz w:val="32"/>
          <w:szCs w:val="32"/>
          <w:highlight w:val="none"/>
          <w:lang w:val="en-US" w:eastAsia="zh-CN"/>
        </w:rPr>
        <w:t xml:space="preserve">5.5 </w:t>
      </w:r>
      <w:r>
        <w:rPr>
          <w:rFonts w:hint="eastAsia" w:ascii="楷体_GB2312" w:hAnsi="楷体_GB2312" w:eastAsia="楷体_GB2312" w:cs="楷体_GB2312"/>
          <w:b/>
          <w:bCs/>
          <w:color w:val="auto"/>
          <w:sz w:val="32"/>
          <w:szCs w:val="32"/>
          <w:highlight w:val="none"/>
        </w:rPr>
        <w:t>终止程序</w:t>
      </w:r>
      <w:bookmarkEnd w:id="52"/>
      <w:bookmarkEnd w:id="53"/>
    </w:p>
    <w:p>
      <w:pPr>
        <w:keepNext w:val="0"/>
        <w:keepLines w:val="0"/>
        <w:pageBreakBefore w:val="0"/>
        <w:widowControl/>
        <w:kinsoku/>
        <w:wordWrap/>
        <w:overflowPunct/>
        <w:topLinePunct w:val="0"/>
        <w:bidi w:val="0"/>
        <w:snapToGrid/>
        <w:spacing w:line="560" w:lineRule="exact"/>
        <w:ind w:firstLine="567"/>
        <w:textAlignment w:val="auto"/>
        <w:outlineLvl w:val="2"/>
        <w:rPr>
          <w:rFonts w:hint="eastAsia" w:ascii="仿宋_GB2312" w:hAnsi="宋体" w:eastAsia="仿宋_GB2312" w:cs="宋体"/>
          <w:b/>
          <w:bCs w:val="0"/>
          <w:color w:val="auto"/>
          <w:sz w:val="32"/>
          <w:szCs w:val="32"/>
          <w:highlight w:val="none"/>
        </w:rPr>
      </w:pPr>
      <w:bookmarkStart w:id="54" w:name="_Toc5132"/>
      <w:r>
        <w:rPr>
          <w:rFonts w:hint="eastAsia" w:ascii="仿宋_GB2312" w:hAnsi="宋体" w:eastAsia="仿宋_GB2312" w:cs="宋体"/>
          <w:b/>
          <w:bCs w:val="0"/>
          <w:color w:val="auto"/>
          <w:sz w:val="32"/>
          <w:szCs w:val="32"/>
          <w:highlight w:val="none"/>
          <w:lang w:val="en-US" w:eastAsia="zh-CN"/>
        </w:rPr>
        <w:t xml:space="preserve">5.5.1 </w:t>
      </w:r>
      <w:r>
        <w:rPr>
          <w:rFonts w:hint="eastAsia" w:ascii="仿宋_GB2312" w:hAnsi="宋体" w:eastAsia="仿宋_GB2312" w:cs="宋体"/>
          <w:b/>
          <w:bCs w:val="0"/>
          <w:color w:val="auto"/>
          <w:sz w:val="32"/>
          <w:szCs w:val="32"/>
          <w:highlight w:val="none"/>
        </w:rPr>
        <w:t>应急响应终止条件</w:t>
      </w:r>
      <w:bookmarkEnd w:id="54"/>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符合下列条件之一的，即满足应急响应终止条件：</w:t>
      </w:r>
    </w:p>
    <w:p>
      <w:pPr>
        <w:keepNext w:val="0"/>
        <w:keepLines w:val="0"/>
        <w:pageBreakBefore w:val="0"/>
        <w:widowControl/>
        <w:kinsoku/>
        <w:wordWrap/>
        <w:overflowPunct/>
        <w:topLinePunct w:val="0"/>
        <w:bidi w:val="0"/>
        <w:snapToGrid/>
        <w:spacing w:line="560" w:lineRule="exact"/>
        <w:ind w:firstLine="567"/>
        <w:textAlignment w:val="auto"/>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(1)事件现场得到控制，事件条件已经消除。</w:t>
      </w:r>
    </w:p>
    <w:p>
      <w:pPr>
        <w:keepNext w:val="0"/>
        <w:keepLines w:val="0"/>
        <w:pageBreakBefore w:val="0"/>
        <w:widowControl/>
        <w:kinsoku/>
        <w:wordWrap/>
        <w:overflowPunct/>
        <w:topLinePunct w:val="0"/>
        <w:bidi w:val="0"/>
        <w:snapToGrid/>
        <w:spacing w:line="560" w:lineRule="exact"/>
        <w:ind w:firstLine="567"/>
        <w:textAlignment w:val="auto"/>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(2)污染源的泄漏或释放已降至规定限值以内。</w:t>
      </w:r>
    </w:p>
    <w:p>
      <w:pPr>
        <w:keepNext w:val="0"/>
        <w:keepLines w:val="0"/>
        <w:pageBreakBefore w:val="0"/>
        <w:widowControl/>
        <w:kinsoku/>
        <w:wordWrap/>
        <w:overflowPunct/>
        <w:topLinePunct w:val="0"/>
        <w:bidi w:val="0"/>
        <w:snapToGrid/>
        <w:spacing w:line="560" w:lineRule="exact"/>
        <w:ind w:firstLine="567"/>
        <w:textAlignment w:val="auto"/>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(3)事件所造成的危害已经被彻底消除，无继发可能。</w:t>
      </w:r>
    </w:p>
    <w:p>
      <w:pPr>
        <w:keepNext w:val="0"/>
        <w:keepLines w:val="0"/>
        <w:pageBreakBefore w:val="0"/>
        <w:widowControl/>
        <w:kinsoku/>
        <w:wordWrap/>
        <w:overflowPunct/>
        <w:topLinePunct w:val="0"/>
        <w:bidi w:val="0"/>
        <w:snapToGrid/>
        <w:spacing w:line="560" w:lineRule="exact"/>
        <w:ind w:firstLine="567"/>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(4)事件现场的各种专业应急处置行动已无继续的必要。</w:t>
      </w:r>
    </w:p>
    <w:p>
      <w:pPr>
        <w:keepNext w:val="0"/>
        <w:keepLines w:val="0"/>
        <w:pageBreakBefore w:val="0"/>
        <w:widowControl/>
        <w:kinsoku/>
        <w:wordWrap/>
        <w:overflowPunct/>
        <w:topLinePunct w:val="0"/>
        <w:bidi w:val="0"/>
        <w:snapToGrid/>
        <w:spacing w:line="560" w:lineRule="exact"/>
        <w:ind w:firstLine="567"/>
        <w:textAlignment w:val="auto"/>
        <w:rPr>
          <w:rFonts w:hint="eastAsia" w:ascii="仿宋_GB2312" w:hAnsi="仿宋_GB2312" w:eastAsia="仿宋_GB2312" w:cs="仿宋_GB2312"/>
          <w:color w:val="auto"/>
          <w:sz w:val="32"/>
          <w:szCs w:val="32"/>
          <w:highlight w:val="none"/>
        </w:rPr>
      </w:pPr>
      <w:r>
        <w:rPr>
          <w:rFonts w:hint="eastAsia" w:ascii="仿宋_GB2312" w:hAnsi="宋体" w:eastAsia="仿宋_GB2312" w:cs="宋体"/>
          <w:bCs/>
          <w:color w:val="auto"/>
          <w:sz w:val="32"/>
          <w:szCs w:val="32"/>
          <w:highlight w:val="none"/>
        </w:rPr>
        <w:t>(5)采取了必要的防护措施以保护公众免受再次危害，并使事件可能引起的中长期影响趋于合理且尽量低的水平。</w:t>
      </w:r>
    </w:p>
    <w:p>
      <w:pPr>
        <w:pStyle w:val="18"/>
        <w:keepNext w:val="0"/>
        <w:keepLines w:val="0"/>
        <w:pageBreakBefore w:val="0"/>
        <w:kinsoku/>
        <w:wordWrap/>
        <w:overflowPunct/>
        <w:topLinePunct w:val="0"/>
        <w:bidi w:val="0"/>
        <w:snapToGrid/>
        <w:spacing w:line="560" w:lineRule="exact"/>
        <w:ind w:firstLine="643" w:firstLineChars="200"/>
        <w:textAlignment w:val="auto"/>
        <w:outlineLvl w:val="2"/>
        <w:rPr>
          <w:rFonts w:hint="default" w:ascii="仿宋_GB2312" w:hAnsi="仿宋_GB2312" w:eastAsia="仿宋_GB2312" w:cs="仿宋_GB2312"/>
          <w:b/>
          <w:bCs/>
          <w:color w:val="auto"/>
          <w:sz w:val="32"/>
          <w:szCs w:val="32"/>
          <w:highlight w:val="none"/>
          <w:lang w:val="en-US" w:eastAsia="zh-CN"/>
        </w:rPr>
      </w:pPr>
      <w:bookmarkStart w:id="55" w:name="_Toc14996"/>
      <w:r>
        <w:rPr>
          <w:rFonts w:hint="eastAsia" w:ascii="仿宋_GB2312" w:hAnsi="仿宋_GB2312" w:eastAsia="仿宋_GB2312" w:cs="仿宋_GB2312"/>
          <w:b/>
          <w:bCs/>
          <w:color w:val="auto"/>
          <w:sz w:val="32"/>
          <w:szCs w:val="32"/>
          <w:highlight w:val="none"/>
          <w:lang w:val="en-US" w:eastAsia="zh-CN"/>
        </w:rPr>
        <w:t>5.5.2 响应终止发布单位</w:t>
      </w:r>
      <w:bookmarkEnd w:id="55"/>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当事件条件已经排除、污染物质已降至规定限值以内、所造成的危害基本消除时，由启动响应的人民政府终止应急响应。</w:t>
      </w:r>
    </w:p>
    <w:p>
      <w:pPr>
        <w:pStyle w:val="18"/>
        <w:keepNext w:val="0"/>
        <w:keepLines w:val="0"/>
        <w:pageBreakBefore w:val="0"/>
        <w:kinsoku/>
        <w:wordWrap/>
        <w:overflowPunct/>
        <w:topLinePunct w:val="0"/>
        <w:bidi w:val="0"/>
        <w:snapToGrid/>
        <w:spacing w:line="560" w:lineRule="exact"/>
        <w:ind w:firstLine="640" w:firstLineChars="200"/>
        <w:textAlignment w:val="auto"/>
        <w:outlineLvl w:val="0"/>
        <w:rPr>
          <w:rFonts w:hint="eastAsia" w:ascii="黑体" w:hAnsi="黑体" w:eastAsia="黑体" w:cs="黑体"/>
          <w:color w:val="auto"/>
          <w:sz w:val="32"/>
          <w:szCs w:val="32"/>
          <w:highlight w:val="none"/>
        </w:rPr>
      </w:pPr>
      <w:bookmarkStart w:id="56" w:name="_Toc30003"/>
      <w:r>
        <w:rPr>
          <w:rFonts w:hint="eastAsia" w:ascii="黑体" w:hAnsi="黑体" w:eastAsia="黑体" w:cs="黑体"/>
          <w:color w:val="auto"/>
          <w:sz w:val="32"/>
          <w:szCs w:val="32"/>
          <w:highlight w:val="none"/>
        </w:rPr>
        <w:t>六、善后处理</w:t>
      </w:r>
      <w:bookmarkEnd w:id="56"/>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州人民政府和事发地</w:t>
      </w:r>
      <w:r>
        <w:rPr>
          <w:rFonts w:hint="eastAsia" w:ascii="仿宋_GB2312" w:hAnsi="仿宋_GB2312" w:eastAsia="仿宋_GB2312" w:cs="仿宋_GB2312"/>
          <w:color w:val="auto"/>
          <w:sz w:val="32"/>
          <w:szCs w:val="32"/>
          <w:highlight w:val="none"/>
          <w:lang w:eastAsia="zh-CN"/>
        </w:rPr>
        <w:t>县（市、开发区）人民政府（管委会）</w:t>
      </w:r>
      <w:r>
        <w:rPr>
          <w:rFonts w:hint="eastAsia" w:ascii="仿宋_GB2312" w:hAnsi="仿宋_GB2312" w:eastAsia="仿宋_GB2312" w:cs="仿宋_GB2312"/>
          <w:color w:val="auto"/>
          <w:sz w:val="32"/>
          <w:szCs w:val="32"/>
          <w:highlight w:val="none"/>
        </w:rPr>
        <w:t>组织有关专家对受影响地区的范围进行科学评估，制定补助、补偿、抚慰、安置和环境恢复等善后工作计划，并组织实施，</w:t>
      </w:r>
      <w:r>
        <w:rPr>
          <w:rFonts w:hint="eastAsia" w:ascii="仿宋_GB2312" w:hAnsi="仿宋_GB2312" w:eastAsia="仿宋_GB2312" w:cs="仿宋_GB2312"/>
          <w:color w:val="auto"/>
          <w:sz w:val="32"/>
          <w:szCs w:val="32"/>
          <w:highlight w:val="none"/>
          <w:lang w:val="en-US" w:eastAsia="zh-CN"/>
        </w:rPr>
        <w:t>着重</w:t>
      </w:r>
      <w:r>
        <w:rPr>
          <w:rFonts w:hint="eastAsia" w:ascii="仿宋_GB2312" w:hAnsi="仿宋_GB2312" w:eastAsia="仿宋_GB2312" w:cs="仿宋_GB2312"/>
          <w:color w:val="auto"/>
          <w:sz w:val="32"/>
          <w:szCs w:val="32"/>
          <w:highlight w:val="none"/>
        </w:rPr>
        <w:t>做好</w:t>
      </w:r>
      <w:r>
        <w:rPr>
          <w:rFonts w:hint="eastAsia" w:ascii="仿宋_GB2312" w:hAnsi="仿宋_GB2312" w:eastAsia="仿宋_GB2312" w:cs="仿宋_GB2312"/>
          <w:color w:val="auto"/>
          <w:sz w:val="32"/>
          <w:szCs w:val="32"/>
          <w:highlight w:val="none"/>
          <w:lang w:val="en-US" w:eastAsia="zh-CN"/>
        </w:rPr>
        <w:t>受灾</w:t>
      </w:r>
      <w:r>
        <w:rPr>
          <w:rFonts w:hint="eastAsia" w:ascii="仿宋_GB2312" w:hAnsi="仿宋_GB2312" w:eastAsia="仿宋_GB2312" w:cs="仿宋_GB2312"/>
          <w:color w:val="auto"/>
          <w:sz w:val="32"/>
          <w:szCs w:val="32"/>
          <w:highlight w:val="none"/>
        </w:rPr>
        <w:t>受害人员的安置等善后工作。</w:t>
      </w:r>
    </w:p>
    <w:p>
      <w:pPr>
        <w:pStyle w:val="18"/>
        <w:keepNext w:val="0"/>
        <w:keepLines w:val="0"/>
        <w:pageBreakBefore w:val="0"/>
        <w:kinsoku/>
        <w:wordWrap/>
        <w:overflowPunct/>
        <w:topLinePunct w:val="0"/>
        <w:bidi w:val="0"/>
        <w:snapToGrid/>
        <w:spacing w:line="560" w:lineRule="exact"/>
        <w:ind w:firstLine="643" w:firstLineChars="200"/>
        <w:textAlignment w:val="auto"/>
        <w:outlineLvl w:val="1"/>
        <w:rPr>
          <w:rFonts w:hint="eastAsia" w:ascii="楷体_GB2312" w:hAnsi="楷体_GB2312" w:eastAsia="楷体_GB2312" w:cs="楷体_GB2312"/>
          <w:b/>
          <w:bCs/>
          <w:color w:val="auto"/>
          <w:sz w:val="32"/>
          <w:szCs w:val="32"/>
          <w:highlight w:val="none"/>
        </w:rPr>
      </w:pPr>
      <w:bookmarkStart w:id="57" w:name="_Toc15519"/>
      <w:bookmarkStart w:id="58" w:name="_Toc5931"/>
      <w:bookmarkStart w:id="59" w:name="_Toc454282990"/>
      <w:r>
        <w:rPr>
          <w:rFonts w:hint="eastAsia" w:ascii="楷体_GB2312" w:hAnsi="楷体_GB2312" w:eastAsia="楷体_GB2312" w:cs="楷体_GB2312"/>
          <w:b/>
          <w:bCs/>
          <w:color w:val="auto"/>
          <w:sz w:val="32"/>
          <w:szCs w:val="32"/>
          <w:highlight w:val="none"/>
          <w:lang w:val="en-US" w:eastAsia="zh-CN"/>
        </w:rPr>
        <w:t xml:space="preserve">6.1 </w:t>
      </w:r>
      <w:r>
        <w:rPr>
          <w:rFonts w:hint="eastAsia" w:ascii="楷体_GB2312" w:hAnsi="楷体_GB2312" w:eastAsia="楷体_GB2312" w:cs="楷体_GB2312"/>
          <w:b/>
          <w:bCs/>
          <w:color w:val="auto"/>
          <w:sz w:val="32"/>
          <w:szCs w:val="32"/>
          <w:highlight w:val="none"/>
        </w:rPr>
        <w:t>损害评估</w:t>
      </w:r>
      <w:bookmarkEnd w:id="57"/>
      <w:bookmarkEnd w:id="58"/>
      <w:bookmarkEnd w:id="59"/>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突发环境事件应急响应终止后，</w:t>
      </w:r>
      <w:r>
        <w:rPr>
          <w:rFonts w:hint="eastAsia" w:ascii="仿宋_GB2312" w:hAnsi="仿宋_GB2312" w:eastAsia="仿宋_GB2312" w:cs="仿宋_GB2312"/>
          <w:color w:val="auto"/>
          <w:sz w:val="32"/>
          <w:szCs w:val="32"/>
          <w:highlight w:val="none"/>
          <w:lang w:val="en-US" w:eastAsia="zh-CN"/>
        </w:rPr>
        <w:t>属地</w:t>
      </w:r>
      <w:r>
        <w:rPr>
          <w:rFonts w:hint="eastAsia" w:ascii="仿宋_GB2312" w:hAnsi="仿宋_GB2312" w:eastAsia="仿宋_GB2312" w:cs="仿宋_GB2312"/>
          <w:color w:val="auto"/>
          <w:sz w:val="32"/>
          <w:szCs w:val="32"/>
          <w:highlight w:val="none"/>
        </w:rPr>
        <w:t>政府要及时组织开展污染损害评估，将评估结果向社会公布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并将评估结果作为</w:t>
      </w:r>
      <w:r>
        <w:rPr>
          <w:rFonts w:hint="eastAsia" w:ascii="仿宋_GB2312" w:hAnsi="仿宋_GB2312" w:eastAsia="仿宋_GB2312" w:cs="仿宋_GB2312"/>
          <w:color w:val="auto"/>
          <w:sz w:val="32"/>
          <w:szCs w:val="32"/>
          <w:highlight w:val="none"/>
        </w:rPr>
        <w:t>制定补助、补偿、抚慰、安置和环境恢复等善后工作计划</w:t>
      </w:r>
      <w:r>
        <w:rPr>
          <w:rFonts w:hint="eastAsia" w:ascii="仿宋_GB2312" w:hAnsi="仿宋_GB2312" w:eastAsia="仿宋_GB2312" w:cs="仿宋_GB2312"/>
          <w:color w:val="auto"/>
          <w:sz w:val="32"/>
          <w:szCs w:val="32"/>
          <w:highlight w:val="none"/>
          <w:lang w:val="en-US" w:eastAsia="zh-CN"/>
        </w:rPr>
        <w:t>的依据</w:t>
      </w:r>
      <w:r>
        <w:rPr>
          <w:rFonts w:hint="eastAsia" w:ascii="仿宋_GB2312" w:hAnsi="仿宋_GB2312" w:eastAsia="仿宋_GB2312" w:cs="仿宋_GB2312"/>
          <w:color w:val="auto"/>
          <w:sz w:val="32"/>
          <w:szCs w:val="32"/>
          <w:highlight w:val="none"/>
          <w:lang w:eastAsia="zh-CN"/>
        </w:rPr>
        <w:t>。</w:t>
      </w:r>
    </w:p>
    <w:p>
      <w:pPr>
        <w:pStyle w:val="18"/>
        <w:keepNext w:val="0"/>
        <w:keepLines w:val="0"/>
        <w:pageBreakBefore w:val="0"/>
        <w:kinsoku/>
        <w:wordWrap/>
        <w:overflowPunct/>
        <w:topLinePunct w:val="0"/>
        <w:bidi w:val="0"/>
        <w:snapToGrid/>
        <w:spacing w:line="560" w:lineRule="exact"/>
        <w:ind w:firstLine="643" w:firstLineChars="200"/>
        <w:textAlignment w:val="auto"/>
        <w:outlineLvl w:val="1"/>
        <w:rPr>
          <w:rFonts w:hint="eastAsia" w:ascii="楷体_GB2312" w:hAnsi="楷体_GB2312" w:eastAsia="楷体_GB2312" w:cs="楷体_GB2312"/>
          <w:b/>
          <w:bCs/>
          <w:color w:val="auto"/>
          <w:sz w:val="32"/>
          <w:szCs w:val="32"/>
          <w:highlight w:val="none"/>
        </w:rPr>
      </w:pPr>
      <w:bookmarkStart w:id="60" w:name="_Toc15024"/>
      <w:bookmarkStart w:id="61" w:name="_Toc13348"/>
      <w:r>
        <w:rPr>
          <w:rFonts w:hint="eastAsia" w:ascii="楷体_GB2312" w:hAnsi="楷体_GB2312" w:eastAsia="楷体_GB2312" w:cs="楷体_GB2312"/>
          <w:b/>
          <w:bCs/>
          <w:color w:val="auto"/>
          <w:sz w:val="32"/>
          <w:szCs w:val="32"/>
          <w:highlight w:val="none"/>
          <w:lang w:val="en-US" w:eastAsia="zh-CN"/>
        </w:rPr>
        <w:t xml:space="preserve">6.2 </w:t>
      </w:r>
      <w:r>
        <w:rPr>
          <w:rFonts w:hint="eastAsia" w:ascii="楷体_GB2312" w:hAnsi="楷体_GB2312" w:eastAsia="楷体_GB2312" w:cs="楷体_GB2312"/>
          <w:b/>
          <w:bCs/>
          <w:color w:val="auto"/>
          <w:sz w:val="32"/>
          <w:szCs w:val="32"/>
          <w:highlight w:val="none"/>
        </w:rPr>
        <w:t>事件调查</w:t>
      </w:r>
      <w:bookmarkEnd w:id="60"/>
      <w:bookmarkEnd w:id="61"/>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突发环境事件应急工作结束后，</w:t>
      </w:r>
      <w:r>
        <w:rPr>
          <w:rFonts w:hint="eastAsia" w:ascii="仿宋_GB2312" w:hAnsi="仿宋_GB2312" w:eastAsia="仿宋_GB2312" w:cs="仿宋_GB2312"/>
          <w:color w:val="auto"/>
          <w:sz w:val="32"/>
          <w:szCs w:val="32"/>
          <w:highlight w:val="none"/>
          <w:lang w:val="en-US" w:eastAsia="zh-CN"/>
        </w:rPr>
        <w:t>参照</w:t>
      </w:r>
      <w:r>
        <w:rPr>
          <w:rFonts w:hint="eastAsia" w:ascii="仿宋_GB2312" w:hAnsi="仿宋_GB2312" w:eastAsia="仿宋_GB2312" w:cs="仿宋_GB2312"/>
          <w:color w:val="auto"/>
          <w:sz w:val="32"/>
          <w:szCs w:val="32"/>
          <w:highlight w:val="none"/>
        </w:rPr>
        <w:t>《突发环境事件调查处理办法》（部令第32号）规定，重大和特别重大突发环境事件由生态环境部负责组织调查处理；省级生态环境厅</w:t>
      </w:r>
      <w:r>
        <w:rPr>
          <w:rFonts w:hint="eastAsia" w:ascii="仿宋_GB2312" w:hAnsi="仿宋_GB2312" w:eastAsia="仿宋_GB2312" w:cs="仿宋_GB2312"/>
          <w:color w:val="auto"/>
          <w:sz w:val="32"/>
          <w:szCs w:val="32"/>
          <w:highlight w:val="none"/>
          <w:lang w:val="en-US" w:eastAsia="zh-CN"/>
        </w:rPr>
        <w:t>和州级生态环境部门</w:t>
      </w:r>
      <w:r>
        <w:rPr>
          <w:rFonts w:hint="eastAsia" w:ascii="仿宋_GB2312" w:hAnsi="仿宋_GB2312" w:eastAsia="仿宋_GB2312" w:cs="仿宋_GB2312"/>
          <w:color w:val="auto"/>
          <w:sz w:val="32"/>
          <w:szCs w:val="32"/>
          <w:highlight w:val="none"/>
        </w:rPr>
        <w:t>负责组织</w:t>
      </w:r>
      <w:r>
        <w:rPr>
          <w:rFonts w:hint="eastAsia" w:ascii="仿宋_GB2312" w:hAnsi="仿宋_GB2312" w:eastAsia="仿宋_GB2312" w:cs="仿宋_GB2312"/>
          <w:color w:val="auto"/>
          <w:sz w:val="32"/>
          <w:szCs w:val="32"/>
          <w:highlight w:val="none"/>
          <w:lang w:val="en-US" w:eastAsia="zh-CN"/>
        </w:rPr>
        <w:t>开展</w:t>
      </w:r>
      <w:r>
        <w:rPr>
          <w:rFonts w:hint="eastAsia" w:ascii="仿宋_GB2312" w:hAnsi="仿宋_GB2312" w:eastAsia="仿宋_GB2312" w:cs="仿宋_GB2312"/>
          <w:color w:val="auto"/>
          <w:sz w:val="32"/>
          <w:szCs w:val="32"/>
          <w:highlight w:val="none"/>
        </w:rPr>
        <w:t>较大突发环境事件的调查处理；州级生态环境部门</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事发地</w:t>
      </w:r>
      <w:r>
        <w:rPr>
          <w:rFonts w:hint="eastAsia" w:ascii="仿宋_GB2312" w:hAnsi="仿宋_GB2312" w:eastAsia="仿宋_GB2312" w:cs="仿宋_GB2312"/>
          <w:color w:val="auto"/>
          <w:sz w:val="32"/>
          <w:szCs w:val="32"/>
          <w:highlight w:val="none"/>
          <w:lang w:val="en-US" w:eastAsia="zh-CN"/>
        </w:rPr>
        <w:t>县（市、开发区）</w:t>
      </w:r>
      <w:r>
        <w:rPr>
          <w:rFonts w:hint="eastAsia" w:ascii="仿宋_GB2312" w:hAnsi="仿宋_GB2312" w:eastAsia="仿宋_GB2312" w:cs="仿宋_GB2312"/>
          <w:color w:val="auto"/>
          <w:sz w:val="32"/>
          <w:szCs w:val="32"/>
          <w:highlight w:val="none"/>
        </w:rPr>
        <w:t>级生态环境主管部门视情况组织一般突发环境事件的调查处理。上级生态环境主管部门可以视情况委托下级生态环境主管部门开展突发环境事件调查处理，也可以对由下级生态环境主管部门负责的突发环境事件直接组织调查处理，并及时通知下级生态环境主管部门。查明原因、性质、人员伤亡、经济损失、影响范围等情况，提出防范、整改措施和处理建议后，及时将调查结果报同级人民政府。</w:t>
      </w:r>
    </w:p>
    <w:p>
      <w:pPr>
        <w:pStyle w:val="18"/>
        <w:keepNext w:val="0"/>
        <w:keepLines w:val="0"/>
        <w:pageBreakBefore w:val="0"/>
        <w:kinsoku/>
        <w:wordWrap/>
        <w:overflowPunct/>
        <w:topLinePunct w:val="0"/>
        <w:bidi w:val="0"/>
        <w:snapToGrid/>
        <w:spacing w:line="560" w:lineRule="exact"/>
        <w:ind w:firstLine="643" w:firstLineChars="200"/>
        <w:textAlignment w:val="auto"/>
        <w:outlineLvl w:val="1"/>
        <w:rPr>
          <w:rFonts w:hint="eastAsia" w:ascii="楷体_GB2312" w:hAnsi="楷体_GB2312" w:eastAsia="楷体_GB2312" w:cs="楷体_GB2312"/>
          <w:b/>
          <w:bCs/>
          <w:color w:val="auto"/>
          <w:sz w:val="32"/>
          <w:szCs w:val="32"/>
          <w:highlight w:val="none"/>
        </w:rPr>
      </w:pPr>
      <w:bookmarkStart w:id="62" w:name="_Toc21742"/>
      <w:bookmarkStart w:id="63" w:name="_Toc10923"/>
      <w:r>
        <w:rPr>
          <w:rFonts w:hint="eastAsia" w:ascii="楷体_GB2312" w:hAnsi="楷体_GB2312" w:eastAsia="楷体_GB2312" w:cs="楷体_GB2312"/>
          <w:b/>
          <w:bCs/>
          <w:color w:val="auto"/>
          <w:sz w:val="32"/>
          <w:szCs w:val="32"/>
          <w:highlight w:val="none"/>
          <w:lang w:val="en-US" w:eastAsia="zh-CN"/>
        </w:rPr>
        <w:t xml:space="preserve">6.3 </w:t>
      </w:r>
      <w:r>
        <w:rPr>
          <w:rFonts w:hint="eastAsia" w:ascii="楷体_GB2312" w:hAnsi="楷体_GB2312" w:eastAsia="楷体_GB2312" w:cs="楷体_GB2312"/>
          <w:b/>
          <w:bCs/>
          <w:color w:val="auto"/>
          <w:sz w:val="32"/>
          <w:szCs w:val="32"/>
          <w:highlight w:val="none"/>
        </w:rPr>
        <w:t>安置、补偿与理赔</w:t>
      </w:r>
      <w:bookmarkEnd w:id="62"/>
      <w:bookmarkEnd w:id="63"/>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事发地人民政府要及时组织制订补助、补偿、抚慰、抚恤、安置和环境恢复等善后工作方案并组织实施。保险机构要及时开展相关理赔工作。</w:t>
      </w:r>
    </w:p>
    <w:p>
      <w:pPr>
        <w:pStyle w:val="18"/>
        <w:keepNext w:val="0"/>
        <w:keepLines w:val="0"/>
        <w:pageBreakBefore w:val="0"/>
        <w:kinsoku/>
        <w:wordWrap/>
        <w:overflowPunct/>
        <w:topLinePunct w:val="0"/>
        <w:bidi w:val="0"/>
        <w:snapToGrid/>
        <w:spacing w:line="560" w:lineRule="exact"/>
        <w:ind w:firstLine="640" w:firstLineChars="200"/>
        <w:textAlignment w:val="auto"/>
        <w:outlineLvl w:val="0"/>
        <w:rPr>
          <w:rFonts w:hint="eastAsia" w:ascii="黑体" w:hAnsi="黑体" w:eastAsia="黑体" w:cs="黑体"/>
          <w:color w:val="auto"/>
          <w:sz w:val="32"/>
          <w:szCs w:val="32"/>
          <w:highlight w:val="none"/>
        </w:rPr>
      </w:pPr>
      <w:bookmarkStart w:id="64" w:name="_Toc29941"/>
      <w:bookmarkStart w:id="65" w:name="_Toc21652"/>
      <w:r>
        <w:rPr>
          <w:rFonts w:hint="eastAsia" w:ascii="黑体" w:hAnsi="黑体" w:eastAsia="黑体" w:cs="黑体"/>
          <w:color w:val="auto"/>
          <w:sz w:val="32"/>
          <w:szCs w:val="32"/>
          <w:highlight w:val="none"/>
        </w:rPr>
        <w:t>七、应急保障</w:t>
      </w:r>
      <w:bookmarkEnd w:id="64"/>
      <w:bookmarkEnd w:id="65"/>
    </w:p>
    <w:p>
      <w:pPr>
        <w:pStyle w:val="18"/>
        <w:keepNext w:val="0"/>
        <w:keepLines w:val="0"/>
        <w:pageBreakBefore w:val="0"/>
        <w:kinsoku/>
        <w:wordWrap/>
        <w:overflowPunct/>
        <w:topLinePunct w:val="0"/>
        <w:bidi w:val="0"/>
        <w:snapToGrid/>
        <w:spacing w:line="560" w:lineRule="exact"/>
        <w:ind w:firstLine="643" w:firstLineChars="200"/>
        <w:textAlignment w:val="auto"/>
        <w:outlineLvl w:val="1"/>
        <w:rPr>
          <w:rFonts w:hint="eastAsia" w:ascii="楷体_GB2312" w:hAnsi="楷体_GB2312" w:eastAsia="楷体_GB2312" w:cs="楷体_GB2312"/>
          <w:b/>
          <w:bCs/>
          <w:color w:val="auto"/>
          <w:sz w:val="32"/>
          <w:szCs w:val="32"/>
          <w:highlight w:val="none"/>
        </w:rPr>
      </w:pPr>
      <w:bookmarkStart w:id="66" w:name="_Toc2532"/>
      <w:bookmarkStart w:id="67" w:name="_Toc454282994"/>
      <w:bookmarkStart w:id="68" w:name="_Toc1899"/>
      <w:r>
        <w:rPr>
          <w:rFonts w:hint="eastAsia" w:ascii="楷体_GB2312" w:hAnsi="楷体_GB2312" w:eastAsia="楷体_GB2312" w:cs="楷体_GB2312"/>
          <w:b/>
          <w:bCs/>
          <w:color w:val="auto"/>
          <w:sz w:val="32"/>
          <w:szCs w:val="32"/>
          <w:highlight w:val="none"/>
          <w:lang w:val="en-US" w:eastAsia="zh-CN"/>
        </w:rPr>
        <w:t xml:space="preserve">7.1 </w:t>
      </w:r>
      <w:r>
        <w:rPr>
          <w:rFonts w:hint="eastAsia" w:ascii="楷体_GB2312" w:hAnsi="楷体_GB2312" w:eastAsia="楷体_GB2312" w:cs="楷体_GB2312"/>
          <w:b/>
          <w:bCs/>
          <w:color w:val="auto"/>
          <w:sz w:val="32"/>
          <w:szCs w:val="32"/>
          <w:highlight w:val="none"/>
        </w:rPr>
        <w:t>队伍保障</w:t>
      </w:r>
      <w:bookmarkEnd w:id="66"/>
      <w:bookmarkEnd w:id="67"/>
      <w:bookmarkEnd w:id="68"/>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级政府要加强环境应急队伍的建设，不断提高应对突发环境事件的能力，建立一支常备不懈、熟悉环境应急知识、掌握突发环境事件应急技能的应急力量；州本级环境应急监测队伍、公安特警部队、消防救援支队及其他相关方面应急救援队伍等力量，要积极参加突发环境事件应急监测、应急处置与救援、调查处理等工作任务。</w:t>
      </w:r>
      <w:r>
        <w:rPr>
          <w:rFonts w:hint="eastAsia" w:ascii="仿宋_GB2312" w:hAnsi="仿宋_GB2312" w:eastAsia="仿宋_GB2312" w:cs="仿宋_GB2312"/>
          <w:color w:val="auto"/>
          <w:sz w:val="32"/>
          <w:szCs w:val="32"/>
          <w:highlight w:val="none"/>
          <w:lang w:val="en-US" w:eastAsia="zh-CN"/>
        </w:rPr>
        <w:t>此外，州应急指挥部应提前组建确立</w:t>
      </w:r>
      <w:r>
        <w:rPr>
          <w:rFonts w:hint="eastAsia" w:ascii="仿宋_GB2312" w:hAnsi="仿宋_GB2312" w:eastAsia="仿宋_GB2312" w:cs="仿宋_GB2312"/>
          <w:color w:val="auto"/>
          <w:sz w:val="32"/>
          <w:szCs w:val="32"/>
          <w:highlight w:val="none"/>
          <w:lang w:eastAsia="zh-CN"/>
        </w:rPr>
        <w:t>专家技术组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及时</w:t>
      </w:r>
      <w:r>
        <w:rPr>
          <w:rFonts w:hint="eastAsia" w:ascii="仿宋_GB2312" w:hAnsi="仿宋_GB2312" w:eastAsia="仿宋_GB2312" w:cs="仿宋_GB2312"/>
          <w:color w:val="auto"/>
          <w:sz w:val="32"/>
          <w:szCs w:val="32"/>
          <w:highlight w:val="none"/>
        </w:rPr>
        <w:t>为突发环境事件应急处置方案制订、污染损害评估和调查处理工作提供决策建议。各</w:t>
      </w:r>
      <w:r>
        <w:rPr>
          <w:rFonts w:hint="eastAsia" w:ascii="仿宋_GB2312" w:hAnsi="仿宋_GB2312" w:eastAsia="仿宋_GB2312" w:cs="仿宋_GB2312"/>
          <w:color w:val="auto"/>
          <w:sz w:val="32"/>
          <w:szCs w:val="32"/>
          <w:highlight w:val="none"/>
          <w:lang w:eastAsia="zh-CN"/>
        </w:rPr>
        <w:t>县（市、开发区）人民政府（管委会）</w:t>
      </w:r>
      <w:r>
        <w:rPr>
          <w:rFonts w:hint="eastAsia" w:ascii="仿宋_GB2312" w:hAnsi="仿宋_GB2312" w:eastAsia="仿宋_GB2312" w:cs="仿宋_GB2312"/>
          <w:color w:val="auto"/>
          <w:sz w:val="32"/>
          <w:szCs w:val="32"/>
          <w:highlight w:val="none"/>
          <w:lang w:val="en-US" w:eastAsia="zh-CN"/>
        </w:rPr>
        <w:t>也</w:t>
      </w:r>
      <w:r>
        <w:rPr>
          <w:rFonts w:hint="eastAsia" w:ascii="仿宋_GB2312" w:hAnsi="仿宋_GB2312" w:eastAsia="仿宋_GB2312" w:cs="仿宋_GB2312"/>
          <w:color w:val="auto"/>
          <w:sz w:val="32"/>
          <w:szCs w:val="32"/>
          <w:highlight w:val="none"/>
        </w:rPr>
        <w:t>要强化环境应急救援队伍能力</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建设，加强环境应急专家队伍建设管理，提高突发环境事件快速响应及应急处置能力。州人民政府支持突发环境事件应急处置和监测先进技术、装备的引进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逐步实现</w:t>
      </w:r>
      <w:r>
        <w:rPr>
          <w:rFonts w:hint="eastAsia" w:ascii="仿宋_GB2312" w:hAnsi="仿宋_GB2312" w:eastAsia="仿宋_GB2312" w:cs="仿宋_GB2312"/>
          <w:color w:val="auto"/>
          <w:sz w:val="32"/>
          <w:szCs w:val="32"/>
          <w:highlight w:val="none"/>
        </w:rPr>
        <w:t>依托环境应急指挥技术平台，</w:t>
      </w:r>
      <w:r>
        <w:rPr>
          <w:rFonts w:hint="eastAsia" w:ascii="仿宋_GB2312" w:hAnsi="仿宋_GB2312" w:eastAsia="仿宋_GB2312" w:cs="仿宋_GB2312"/>
          <w:color w:val="auto"/>
          <w:sz w:val="32"/>
          <w:szCs w:val="32"/>
          <w:highlight w:val="none"/>
          <w:lang w:val="en-US" w:eastAsia="zh-CN"/>
        </w:rPr>
        <w:t>达成</w:t>
      </w:r>
      <w:r>
        <w:rPr>
          <w:rFonts w:hint="eastAsia" w:ascii="仿宋_GB2312" w:hAnsi="仿宋_GB2312" w:eastAsia="仿宋_GB2312" w:cs="仿宋_GB2312"/>
          <w:color w:val="auto"/>
          <w:sz w:val="32"/>
          <w:szCs w:val="32"/>
          <w:highlight w:val="none"/>
        </w:rPr>
        <w:t>信息综合集成、分析处理、污染损害评估的智能化和数字化。</w:t>
      </w:r>
    </w:p>
    <w:p>
      <w:pPr>
        <w:pStyle w:val="18"/>
        <w:keepNext w:val="0"/>
        <w:keepLines w:val="0"/>
        <w:pageBreakBefore w:val="0"/>
        <w:kinsoku/>
        <w:wordWrap/>
        <w:overflowPunct/>
        <w:topLinePunct w:val="0"/>
        <w:bidi w:val="0"/>
        <w:snapToGrid/>
        <w:spacing w:line="560" w:lineRule="exact"/>
        <w:ind w:firstLine="643" w:firstLineChars="200"/>
        <w:textAlignment w:val="auto"/>
        <w:outlineLvl w:val="1"/>
        <w:rPr>
          <w:rFonts w:hint="eastAsia" w:ascii="楷体_GB2312" w:hAnsi="楷体_GB2312" w:eastAsia="楷体_GB2312" w:cs="楷体_GB2312"/>
          <w:b/>
          <w:bCs/>
          <w:color w:val="auto"/>
          <w:sz w:val="32"/>
          <w:szCs w:val="32"/>
          <w:highlight w:val="none"/>
        </w:rPr>
      </w:pPr>
      <w:bookmarkStart w:id="69" w:name="_Toc14173"/>
      <w:bookmarkStart w:id="70" w:name="_Toc454282995"/>
      <w:bookmarkStart w:id="71" w:name="_Toc17085"/>
      <w:r>
        <w:rPr>
          <w:rFonts w:hint="eastAsia" w:ascii="楷体_GB2312" w:hAnsi="楷体_GB2312" w:eastAsia="楷体_GB2312" w:cs="楷体_GB2312"/>
          <w:b/>
          <w:bCs/>
          <w:color w:val="auto"/>
          <w:sz w:val="32"/>
          <w:szCs w:val="32"/>
          <w:highlight w:val="none"/>
          <w:lang w:val="en-US" w:eastAsia="zh-CN"/>
        </w:rPr>
        <w:t xml:space="preserve">7.2 </w:t>
      </w:r>
      <w:r>
        <w:rPr>
          <w:rFonts w:hint="eastAsia" w:ascii="楷体_GB2312" w:hAnsi="楷体_GB2312" w:eastAsia="楷体_GB2312" w:cs="楷体_GB2312"/>
          <w:b/>
          <w:bCs/>
          <w:color w:val="auto"/>
          <w:sz w:val="32"/>
          <w:szCs w:val="32"/>
          <w:highlight w:val="none"/>
        </w:rPr>
        <w:t>物资保障</w:t>
      </w:r>
      <w:bookmarkEnd w:id="69"/>
      <w:bookmarkEnd w:id="70"/>
      <w:bookmarkEnd w:id="71"/>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州政府有关部门按照职责分工，组织做好环境应急救援物资紧急生产、储备调拨和紧急配送工作，保障支援突发环境事件应急处置和环境恢复治理工作的需要。</w:t>
      </w:r>
      <w:r>
        <w:rPr>
          <w:rFonts w:hint="eastAsia" w:ascii="仿宋_GB2312" w:hAnsi="仿宋_GB2312" w:eastAsia="仿宋_GB2312" w:cs="仿宋_GB2312"/>
          <w:color w:val="auto"/>
          <w:sz w:val="32"/>
          <w:szCs w:val="32"/>
          <w:highlight w:val="none"/>
          <w:lang w:eastAsia="zh-CN"/>
        </w:rPr>
        <w:t>各县（市、开发区）人民政府（管委会）</w:t>
      </w:r>
      <w:r>
        <w:rPr>
          <w:rFonts w:hint="eastAsia" w:ascii="仿宋_GB2312" w:hAnsi="仿宋_GB2312" w:eastAsia="仿宋_GB2312" w:cs="仿宋_GB2312"/>
          <w:color w:val="auto"/>
          <w:sz w:val="32"/>
          <w:szCs w:val="32"/>
          <w:highlight w:val="none"/>
        </w:rPr>
        <w:t>及其有关部门要加强应急物资储备，鼓励支持社会化应急物资储备，保障应急物资、生活必需品的生产和供给。生态环境主管部门要加强对当地环境应急物资储备信息的动态管理。</w:t>
      </w:r>
    </w:p>
    <w:p>
      <w:pPr>
        <w:pStyle w:val="18"/>
        <w:keepNext w:val="0"/>
        <w:keepLines w:val="0"/>
        <w:pageBreakBefore w:val="0"/>
        <w:kinsoku/>
        <w:wordWrap/>
        <w:overflowPunct/>
        <w:topLinePunct w:val="0"/>
        <w:bidi w:val="0"/>
        <w:snapToGrid/>
        <w:spacing w:line="560" w:lineRule="exact"/>
        <w:ind w:firstLine="643" w:firstLineChars="200"/>
        <w:textAlignment w:val="auto"/>
        <w:outlineLvl w:val="1"/>
        <w:rPr>
          <w:rFonts w:hint="eastAsia" w:ascii="楷体_GB2312" w:hAnsi="楷体_GB2312" w:eastAsia="楷体_GB2312" w:cs="楷体_GB2312"/>
          <w:b/>
          <w:bCs/>
          <w:color w:val="auto"/>
          <w:sz w:val="32"/>
          <w:szCs w:val="32"/>
          <w:highlight w:val="none"/>
        </w:rPr>
      </w:pPr>
      <w:bookmarkStart w:id="72" w:name="_Toc454282996"/>
      <w:bookmarkStart w:id="73" w:name="_Toc6581"/>
      <w:bookmarkStart w:id="74" w:name="_Toc6338"/>
      <w:r>
        <w:rPr>
          <w:rFonts w:hint="eastAsia" w:ascii="楷体_GB2312" w:hAnsi="楷体_GB2312" w:eastAsia="楷体_GB2312" w:cs="楷体_GB2312"/>
          <w:b/>
          <w:bCs/>
          <w:color w:val="auto"/>
          <w:sz w:val="32"/>
          <w:szCs w:val="32"/>
          <w:highlight w:val="none"/>
          <w:lang w:val="en-US" w:eastAsia="zh-CN"/>
        </w:rPr>
        <w:t xml:space="preserve">7.3 </w:t>
      </w:r>
      <w:r>
        <w:rPr>
          <w:rFonts w:hint="eastAsia" w:ascii="楷体_GB2312" w:hAnsi="楷体_GB2312" w:eastAsia="楷体_GB2312" w:cs="楷体_GB2312"/>
          <w:b/>
          <w:bCs/>
          <w:color w:val="auto"/>
          <w:sz w:val="32"/>
          <w:szCs w:val="32"/>
          <w:highlight w:val="none"/>
        </w:rPr>
        <w:t>资金保障</w:t>
      </w:r>
      <w:bookmarkEnd w:id="72"/>
      <w:bookmarkEnd w:id="73"/>
      <w:bookmarkEnd w:id="74"/>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各级人民政府应将突发环境事件的应急能力建设及应急处置等工作经费纳入本级财政预算统筹安排，为实施应急预案提供经费保障。突发环境事件应急处置所需经费首先由事件责任单位承担。</w:t>
      </w:r>
      <w:r>
        <w:rPr>
          <w:rFonts w:hint="eastAsia" w:ascii="仿宋_GB2312" w:hAnsi="仿宋_GB2312" w:eastAsia="仿宋_GB2312" w:cs="仿宋_GB2312"/>
          <w:color w:val="auto"/>
          <w:sz w:val="32"/>
          <w:szCs w:val="32"/>
          <w:highlight w:val="none"/>
          <w:lang w:eastAsia="zh-CN"/>
        </w:rPr>
        <w:t>各县（市、开发区）人民政府（管委会）</w:t>
      </w:r>
      <w:r>
        <w:rPr>
          <w:rFonts w:hint="eastAsia" w:ascii="仿宋_GB2312" w:hAnsi="仿宋_GB2312" w:eastAsia="仿宋_GB2312" w:cs="仿宋_GB2312"/>
          <w:color w:val="auto"/>
          <w:sz w:val="32"/>
          <w:szCs w:val="32"/>
          <w:highlight w:val="none"/>
        </w:rPr>
        <w:t>设置应急救援备用金，由</w:t>
      </w:r>
      <w:r>
        <w:rPr>
          <w:rFonts w:hint="eastAsia" w:ascii="仿宋_GB2312" w:hAnsi="仿宋_GB2312" w:eastAsia="仿宋_GB2312" w:cs="仿宋_GB2312"/>
          <w:color w:val="auto"/>
          <w:sz w:val="32"/>
          <w:szCs w:val="32"/>
          <w:highlight w:val="none"/>
          <w:lang w:eastAsia="zh-CN"/>
        </w:rPr>
        <w:t>各县（市。</w:t>
      </w:r>
      <w:r>
        <w:rPr>
          <w:rFonts w:hint="eastAsia" w:ascii="仿宋_GB2312" w:hAnsi="仿宋_GB2312" w:eastAsia="仿宋_GB2312" w:cs="仿宋_GB2312"/>
          <w:color w:val="auto"/>
          <w:sz w:val="32"/>
          <w:szCs w:val="32"/>
          <w:highlight w:val="none"/>
          <w:lang w:val="en-US" w:eastAsia="zh-CN"/>
        </w:rPr>
        <w:t>开发区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财政部门进行专款专用拨付，对突发环境事件应急处置工作提供资金保障。</w:t>
      </w:r>
    </w:p>
    <w:p>
      <w:pPr>
        <w:pStyle w:val="18"/>
        <w:keepNext w:val="0"/>
        <w:keepLines w:val="0"/>
        <w:pageBreakBefore w:val="0"/>
        <w:kinsoku/>
        <w:wordWrap/>
        <w:overflowPunct/>
        <w:topLinePunct w:val="0"/>
        <w:bidi w:val="0"/>
        <w:snapToGrid/>
        <w:spacing w:line="560" w:lineRule="exact"/>
        <w:ind w:firstLine="643" w:firstLineChars="200"/>
        <w:textAlignment w:val="auto"/>
        <w:outlineLvl w:val="1"/>
        <w:rPr>
          <w:rFonts w:hint="eastAsia" w:ascii="楷体_GB2312" w:hAnsi="楷体_GB2312" w:eastAsia="楷体_GB2312" w:cs="楷体_GB2312"/>
          <w:b/>
          <w:bCs/>
          <w:color w:val="auto"/>
          <w:sz w:val="32"/>
          <w:szCs w:val="32"/>
          <w:highlight w:val="none"/>
        </w:rPr>
      </w:pPr>
      <w:bookmarkStart w:id="75" w:name="_Toc11446"/>
      <w:bookmarkStart w:id="76" w:name="_Toc454282997"/>
      <w:bookmarkStart w:id="77" w:name="_Toc11696"/>
      <w:bookmarkStart w:id="78" w:name="_Toc410827740"/>
      <w:bookmarkStart w:id="79" w:name="_Toc424628847"/>
      <w:r>
        <w:rPr>
          <w:rFonts w:hint="eastAsia" w:ascii="楷体_GB2312" w:hAnsi="楷体_GB2312" w:eastAsia="楷体_GB2312" w:cs="楷体_GB2312"/>
          <w:b/>
          <w:bCs/>
          <w:color w:val="auto"/>
          <w:sz w:val="32"/>
          <w:szCs w:val="32"/>
          <w:highlight w:val="none"/>
          <w:lang w:val="en-US" w:eastAsia="zh-CN"/>
        </w:rPr>
        <w:t xml:space="preserve">7.4 </w:t>
      </w:r>
      <w:r>
        <w:rPr>
          <w:rFonts w:hint="eastAsia" w:ascii="楷体_GB2312" w:hAnsi="楷体_GB2312" w:eastAsia="楷体_GB2312" w:cs="楷体_GB2312"/>
          <w:b/>
          <w:bCs/>
          <w:color w:val="auto"/>
          <w:sz w:val="32"/>
          <w:szCs w:val="32"/>
          <w:highlight w:val="none"/>
        </w:rPr>
        <w:t>监测预警能力保障</w:t>
      </w:r>
      <w:bookmarkEnd w:id="75"/>
      <w:bookmarkEnd w:id="76"/>
      <w:bookmarkEnd w:id="77"/>
      <w:bookmarkEnd w:id="78"/>
      <w:bookmarkEnd w:id="79"/>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级人民政府应加快环境质量监测网络建设，完善环境监测仪器设备、预测预报模型等软硬件配备；建设突发环境事件应急管理数据库，加强大气、土壤、水、生态等环境质量、气象条件、自然灾害预测预报等相关领域基础研究。</w:t>
      </w:r>
      <w:r>
        <w:rPr>
          <w:rFonts w:hint="eastAsia" w:ascii="仿宋_GB2312" w:hAnsi="仿宋_GB2312" w:eastAsia="仿宋_GB2312" w:cs="仿宋_GB2312"/>
          <w:color w:val="auto"/>
          <w:sz w:val="32"/>
          <w:szCs w:val="32"/>
          <w:highlight w:val="none"/>
          <w:lang w:val="en-US" w:eastAsia="zh-CN"/>
        </w:rPr>
        <w:t>应统筹</w:t>
      </w:r>
      <w:r>
        <w:rPr>
          <w:rFonts w:hint="eastAsia" w:ascii="仿宋_GB2312" w:hAnsi="仿宋_GB2312" w:eastAsia="仿宋_GB2312" w:cs="仿宋_GB2312"/>
          <w:color w:val="auto"/>
          <w:sz w:val="32"/>
          <w:szCs w:val="32"/>
          <w:highlight w:val="none"/>
        </w:rPr>
        <w:t>建设黔东南州突发环境事件信息发布和预报预警平台。</w:t>
      </w:r>
    </w:p>
    <w:p>
      <w:pPr>
        <w:pStyle w:val="18"/>
        <w:keepNext w:val="0"/>
        <w:keepLines w:val="0"/>
        <w:pageBreakBefore w:val="0"/>
        <w:kinsoku/>
        <w:wordWrap/>
        <w:overflowPunct/>
        <w:topLinePunct w:val="0"/>
        <w:bidi w:val="0"/>
        <w:snapToGrid/>
        <w:spacing w:line="560" w:lineRule="exact"/>
        <w:ind w:firstLine="643" w:firstLineChars="200"/>
        <w:textAlignment w:val="auto"/>
        <w:outlineLvl w:val="1"/>
        <w:rPr>
          <w:rFonts w:hint="eastAsia" w:ascii="楷体_GB2312" w:hAnsi="楷体_GB2312" w:eastAsia="楷体_GB2312" w:cs="楷体_GB2312"/>
          <w:b/>
          <w:bCs/>
          <w:color w:val="auto"/>
          <w:sz w:val="32"/>
          <w:szCs w:val="32"/>
          <w:highlight w:val="none"/>
        </w:rPr>
      </w:pPr>
      <w:bookmarkStart w:id="80" w:name="_Toc27556"/>
      <w:bookmarkStart w:id="81" w:name="_Toc424628848"/>
      <w:bookmarkStart w:id="82" w:name="_Toc410827741"/>
      <w:bookmarkStart w:id="83" w:name="_Toc21479"/>
      <w:bookmarkStart w:id="84" w:name="_Toc454282998"/>
      <w:r>
        <w:rPr>
          <w:rFonts w:hint="eastAsia" w:ascii="楷体_GB2312" w:hAnsi="楷体_GB2312" w:eastAsia="楷体_GB2312" w:cs="楷体_GB2312"/>
          <w:b/>
          <w:bCs/>
          <w:color w:val="auto"/>
          <w:sz w:val="32"/>
          <w:szCs w:val="32"/>
          <w:highlight w:val="none"/>
          <w:lang w:val="en-US" w:eastAsia="zh-CN"/>
        </w:rPr>
        <w:t xml:space="preserve">7.5 </w:t>
      </w:r>
      <w:r>
        <w:rPr>
          <w:rFonts w:hint="eastAsia" w:ascii="楷体_GB2312" w:hAnsi="楷体_GB2312" w:eastAsia="楷体_GB2312" w:cs="楷体_GB2312"/>
          <w:b/>
          <w:bCs/>
          <w:color w:val="auto"/>
          <w:sz w:val="32"/>
          <w:szCs w:val="32"/>
          <w:highlight w:val="none"/>
        </w:rPr>
        <w:t>信息保障</w:t>
      </w:r>
      <w:bookmarkEnd w:id="80"/>
      <w:bookmarkEnd w:id="81"/>
      <w:bookmarkEnd w:id="82"/>
      <w:bookmarkEnd w:id="83"/>
      <w:bookmarkEnd w:id="84"/>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级人民政府应建设突发环境事件应急指挥系统，保证应急信息和指令的及时有效传达。建立健全应急人员通信信息库，各成员单位明确1名突发环境事件应急负责人和联络员，并保持24小时通信畅通。州生态环境局和各相关部门建立信息共享网络，保证数据快速、及时传递。制定应急信息通信系统及维护方案，确保信息通畅。</w:t>
      </w:r>
    </w:p>
    <w:p>
      <w:pPr>
        <w:pStyle w:val="18"/>
        <w:keepNext w:val="0"/>
        <w:keepLines w:val="0"/>
        <w:pageBreakBefore w:val="0"/>
        <w:kinsoku/>
        <w:wordWrap/>
        <w:overflowPunct/>
        <w:topLinePunct w:val="0"/>
        <w:bidi w:val="0"/>
        <w:snapToGrid/>
        <w:spacing w:line="560" w:lineRule="exact"/>
        <w:ind w:left="638" w:leftChars="304" w:firstLine="0" w:firstLineChars="0"/>
        <w:textAlignment w:val="auto"/>
        <w:outlineLvl w:val="1"/>
        <w:rPr>
          <w:rFonts w:hint="eastAsia" w:ascii="楷体_GB2312" w:hAnsi="楷体_GB2312" w:eastAsia="楷体_GB2312" w:cs="楷体_GB2312"/>
          <w:b/>
          <w:bCs/>
          <w:color w:val="auto"/>
          <w:sz w:val="32"/>
          <w:szCs w:val="32"/>
          <w:highlight w:val="none"/>
        </w:rPr>
      </w:pPr>
      <w:bookmarkStart w:id="85" w:name="_Toc1511"/>
      <w:r>
        <w:rPr>
          <w:rFonts w:hint="eastAsia" w:ascii="楷体_GB2312" w:hAnsi="楷体_GB2312" w:eastAsia="楷体_GB2312" w:cs="楷体_GB2312"/>
          <w:b/>
          <w:bCs/>
          <w:color w:val="auto"/>
          <w:sz w:val="32"/>
          <w:szCs w:val="32"/>
          <w:highlight w:val="none"/>
          <w:lang w:val="en-US" w:eastAsia="zh-CN"/>
        </w:rPr>
        <w:t xml:space="preserve">7.6 </w:t>
      </w:r>
      <w:r>
        <w:rPr>
          <w:rFonts w:hint="eastAsia" w:ascii="楷体_GB2312" w:hAnsi="楷体_GB2312" w:eastAsia="楷体_GB2312" w:cs="楷体_GB2312"/>
          <w:b/>
          <w:bCs/>
          <w:color w:val="auto"/>
          <w:sz w:val="32"/>
          <w:szCs w:val="32"/>
          <w:highlight w:val="none"/>
        </w:rPr>
        <w:t>通信、交通与运输保障</w:t>
      </w:r>
      <w:bookmarkEnd w:id="85"/>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各级人民政府</w:t>
      </w:r>
      <w:r>
        <w:rPr>
          <w:rFonts w:hint="eastAsia" w:ascii="仿宋_GB2312" w:hAnsi="宋体" w:eastAsia="仿宋_GB2312" w:cs="宋体"/>
          <w:color w:val="auto"/>
          <w:sz w:val="32"/>
          <w:szCs w:val="32"/>
          <w:highlight w:val="none"/>
        </w:rPr>
        <w:t>及其通信主管部门要建立健全突发环境事件应急通信保障体系，确保应急期间通信联络和信息传递需要。交通运输部门要健全公路、铁路、航空、水运紧急运输保障体系，保障应急响应所需人员、物资、装备、器材等的运输。公安部门要加强应急交通管理，保障运送伤病员、应急救援人员、物资、装备、器材车辆的优先通行。</w:t>
      </w:r>
    </w:p>
    <w:p>
      <w:pPr>
        <w:pStyle w:val="18"/>
        <w:keepNext w:val="0"/>
        <w:keepLines w:val="0"/>
        <w:pageBreakBefore w:val="0"/>
        <w:kinsoku/>
        <w:wordWrap/>
        <w:overflowPunct/>
        <w:topLinePunct w:val="0"/>
        <w:bidi w:val="0"/>
        <w:snapToGrid/>
        <w:spacing w:line="560" w:lineRule="exact"/>
        <w:ind w:firstLine="643" w:firstLineChars="200"/>
        <w:textAlignment w:val="auto"/>
        <w:outlineLvl w:val="1"/>
        <w:rPr>
          <w:rFonts w:hint="eastAsia" w:ascii="楷体_GB2312" w:hAnsi="楷体_GB2312" w:eastAsia="楷体_GB2312" w:cs="楷体_GB2312"/>
          <w:b/>
          <w:bCs/>
          <w:color w:val="auto"/>
          <w:sz w:val="32"/>
          <w:szCs w:val="32"/>
          <w:highlight w:val="none"/>
        </w:rPr>
      </w:pPr>
      <w:bookmarkStart w:id="86" w:name="_Toc24735"/>
      <w:bookmarkStart w:id="87" w:name="_Toc410827742"/>
      <w:bookmarkStart w:id="88" w:name="_Toc424628849"/>
      <w:bookmarkStart w:id="89" w:name="_Toc28545"/>
      <w:bookmarkStart w:id="90" w:name="_Toc454282999"/>
      <w:r>
        <w:rPr>
          <w:rFonts w:hint="eastAsia" w:ascii="楷体_GB2312" w:hAnsi="楷体_GB2312" w:eastAsia="楷体_GB2312" w:cs="楷体_GB2312"/>
          <w:b/>
          <w:bCs/>
          <w:color w:val="auto"/>
          <w:sz w:val="32"/>
          <w:szCs w:val="32"/>
          <w:highlight w:val="none"/>
          <w:lang w:val="en-US" w:eastAsia="zh-CN"/>
        </w:rPr>
        <w:t xml:space="preserve">7.7 </w:t>
      </w:r>
      <w:r>
        <w:rPr>
          <w:rFonts w:hint="eastAsia" w:ascii="楷体_GB2312" w:hAnsi="楷体_GB2312" w:eastAsia="楷体_GB2312" w:cs="楷体_GB2312"/>
          <w:b/>
          <w:bCs/>
          <w:color w:val="auto"/>
          <w:sz w:val="32"/>
          <w:szCs w:val="32"/>
          <w:highlight w:val="none"/>
        </w:rPr>
        <w:t>医疗卫生保障</w:t>
      </w:r>
      <w:bookmarkEnd w:id="86"/>
      <w:bookmarkEnd w:id="87"/>
      <w:bookmarkEnd w:id="88"/>
      <w:bookmarkEnd w:id="89"/>
      <w:bookmarkEnd w:id="90"/>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各级人民政府应加强紧急医学救援网络体系建设，强化应急物资储备和应急队伍车载化、集成化、自我保障化装备，确保按照预案做好紧急医学救援工作。</w:t>
      </w:r>
    </w:p>
    <w:p>
      <w:pPr>
        <w:pStyle w:val="18"/>
        <w:keepNext w:val="0"/>
        <w:keepLines w:val="0"/>
        <w:pageBreakBefore w:val="0"/>
        <w:kinsoku/>
        <w:wordWrap/>
        <w:overflowPunct/>
        <w:topLinePunct w:val="0"/>
        <w:bidi w:val="0"/>
        <w:snapToGrid/>
        <w:spacing w:line="560" w:lineRule="exact"/>
        <w:ind w:firstLine="643" w:firstLineChars="200"/>
        <w:textAlignment w:val="auto"/>
        <w:outlineLvl w:val="1"/>
        <w:rPr>
          <w:rFonts w:hint="eastAsia" w:ascii="楷体_GB2312" w:hAnsi="楷体_GB2312" w:eastAsia="楷体_GB2312" w:cs="楷体_GB2312"/>
          <w:b/>
          <w:bCs/>
          <w:color w:val="auto"/>
          <w:sz w:val="32"/>
          <w:szCs w:val="32"/>
          <w:highlight w:val="none"/>
        </w:rPr>
      </w:pPr>
      <w:bookmarkStart w:id="91" w:name="_Toc454283000"/>
      <w:bookmarkStart w:id="92" w:name="_Toc20200"/>
      <w:bookmarkStart w:id="93" w:name="_Toc2050"/>
      <w:r>
        <w:rPr>
          <w:rFonts w:hint="eastAsia" w:ascii="楷体_GB2312" w:hAnsi="楷体_GB2312" w:eastAsia="楷体_GB2312" w:cs="楷体_GB2312"/>
          <w:b/>
          <w:bCs/>
          <w:color w:val="auto"/>
          <w:sz w:val="32"/>
          <w:szCs w:val="32"/>
          <w:highlight w:val="none"/>
          <w:lang w:val="en-US" w:eastAsia="zh-CN"/>
        </w:rPr>
        <w:t xml:space="preserve">7.8 </w:t>
      </w:r>
      <w:r>
        <w:rPr>
          <w:rFonts w:hint="eastAsia" w:ascii="楷体_GB2312" w:hAnsi="楷体_GB2312" w:eastAsia="楷体_GB2312" w:cs="楷体_GB2312"/>
          <w:b/>
          <w:bCs/>
          <w:color w:val="auto"/>
          <w:sz w:val="32"/>
          <w:szCs w:val="32"/>
          <w:highlight w:val="none"/>
        </w:rPr>
        <w:t>科普宣教</w:t>
      </w:r>
      <w:bookmarkEnd w:id="91"/>
      <w:bookmarkEnd w:id="92"/>
      <w:bookmarkEnd w:id="93"/>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级人民政府在预案制订和发布过程中加强宣传教育，组织开展环境应急预案的宣传教育，主要内容为：向公众普及突发环境事件预防常识，以及应对突发环境事件的报告、紧急避险和自救互救等方面的知识，同时向公众公布接警电话，提高公众防范突发环境事件的能力。积极建立公众参与机制，加强舆论引导，鼓励公众参与到突发环境事件应急工作中，从自身做起，从小事做起，保护环境，减少污染。</w:t>
      </w:r>
    </w:p>
    <w:p>
      <w:pPr>
        <w:pStyle w:val="18"/>
        <w:keepNext w:val="0"/>
        <w:keepLines w:val="0"/>
        <w:pageBreakBefore w:val="0"/>
        <w:kinsoku/>
        <w:wordWrap/>
        <w:overflowPunct/>
        <w:topLinePunct w:val="0"/>
        <w:bidi w:val="0"/>
        <w:snapToGrid/>
        <w:spacing w:line="560" w:lineRule="exact"/>
        <w:ind w:firstLine="640" w:firstLineChars="200"/>
        <w:textAlignment w:val="auto"/>
        <w:outlineLvl w:val="0"/>
        <w:rPr>
          <w:rFonts w:hint="eastAsia" w:ascii="黑体" w:hAnsi="黑体" w:eastAsia="黑体" w:cs="黑体"/>
          <w:color w:val="auto"/>
          <w:sz w:val="32"/>
          <w:szCs w:val="32"/>
          <w:highlight w:val="none"/>
        </w:rPr>
      </w:pPr>
      <w:bookmarkStart w:id="94" w:name="_Toc17193"/>
      <w:bookmarkStart w:id="95" w:name="_Toc3619"/>
      <w:r>
        <w:rPr>
          <w:rFonts w:hint="eastAsia" w:ascii="黑体" w:hAnsi="黑体" w:eastAsia="黑体" w:cs="黑体"/>
          <w:color w:val="auto"/>
          <w:sz w:val="32"/>
          <w:szCs w:val="32"/>
          <w:highlight w:val="none"/>
        </w:rPr>
        <w:t>八、责任与奖惩</w:t>
      </w:r>
      <w:bookmarkEnd w:id="94"/>
      <w:bookmarkEnd w:id="95"/>
    </w:p>
    <w:p>
      <w:pPr>
        <w:pStyle w:val="18"/>
        <w:keepNext w:val="0"/>
        <w:keepLines w:val="0"/>
        <w:pageBreakBefore w:val="0"/>
        <w:kinsoku/>
        <w:wordWrap/>
        <w:overflowPunct/>
        <w:topLinePunct w:val="0"/>
        <w:bidi w:val="0"/>
        <w:snapToGrid/>
        <w:spacing w:line="560" w:lineRule="exact"/>
        <w:ind w:firstLine="643" w:firstLineChars="200"/>
        <w:textAlignment w:val="auto"/>
        <w:outlineLvl w:val="1"/>
        <w:rPr>
          <w:rFonts w:hint="eastAsia" w:ascii="楷体_GB2312" w:hAnsi="楷体_GB2312" w:eastAsia="楷体_GB2312" w:cs="楷体_GB2312"/>
          <w:b/>
          <w:bCs/>
          <w:color w:val="auto"/>
          <w:sz w:val="32"/>
          <w:szCs w:val="32"/>
          <w:highlight w:val="none"/>
        </w:rPr>
      </w:pPr>
      <w:bookmarkStart w:id="96" w:name="_Toc29877"/>
      <w:bookmarkStart w:id="97" w:name="_Toc24076"/>
      <w:r>
        <w:rPr>
          <w:rFonts w:hint="eastAsia" w:ascii="楷体_GB2312" w:hAnsi="楷体_GB2312" w:eastAsia="楷体_GB2312" w:cs="楷体_GB2312"/>
          <w:b/>
          <w:bCs/>
          <w:color w:val="auto"/>
          <w:sz w:val="32"/>
          <w:szCs w:val="32"/>
          <w:highlight w:val="none"/>
          <w:lang w:val="en-US" w:eastAsia="zh-CN"/>
        </w:rPr>
        <w:t xml:space="preserve">8.1 </w:t>
      </w:r>
      <w:r>
        <w:rPr>
          <w:rFonts w:hint="eastAsia" w:ascii="楷体_GB2312" w:hAnsi="楷体_GB2312" w:eastAsia="楷体_GB2312" w:cs="楷体_GB2312"/>
          <w:b/>
          <w:bCs/>
          <w:color w:val="auto"/>
          <w:sz w:val="32"/>
          <w:szCs w:val="32"/>
          <w:highlight w:val="none"/>
        </w:rPr>
        <w:t>奖励</w:t>
      </w:r>
      <w:bookmarkEnd w:id="96"/>
      <w:bookmarkEnd w:id="97"/>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在突发环境事件应对处置工作中，有下列突出表现的单位和个人，由有关部门按国家规定给予表彰和奖励。</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出色完成应急处置任务。</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对防止或避免突发环境事件有功，使国家、集体和人民群众的生命财产免受或者减少损失的。</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对突发环境事件应急准备与响应提出重大建议，实施效果显著的。</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有其他突出贡献的。</w:t>
      </w:r>
    </w:p>
    <w:p>
      <w:pPr>
        <w:pStyle w:val="18"/>
        <w:keepNext w:val="0"/>
        <w:keepLines w:val="0"/>
        <w:pageBreakBefore w:val="0"/>
        <w:kinsoku/>
        <w:wordWrap/>
        <w:overflowPunct/>
        <w:topLinePunct w:val="0"/>
        <w:bidi w:val="0"/>
        <w:snapToGrid/>
        <w:spacing w:line="560" w:lineRule="exact"/>
        <w:ind w:firstLine="643" w:firstLineChars="200"/>
        <w:textAlignment w:val="auto"/>
        <w:outlineLvl w:val="1"/>
        <w:rPr>
          <w:rFonts w:hint="eastAsia" w:ascii="楷体_GB2312" w:hAnsi="楷体_GB2312" w:eastAsia="楷体_GB2312" w:cs="楷体_GB2312"/>
          <w:b/>
          <w:bCs/>
          <w:color w:val="auto"/>
          <w:sz w:val="32"/>
          <w:szCs w:val="32"/>
          <w:highlight w:val="none"/>
        </w:rPr>
      </w:pPr>
      <w:bookmarkStart w:id="98" w:name="_Toc478"/>
      <w:bookmarkStart w:id="99" w:name="_Toc9236"/>
      <w:r>
        <w:rPr>
          <w:rFonts w:hint="eastAsia" w:ascii="楷体_GB2312" w:hAnsi="楷体_GB2312" w:eastAsia="楷体_GB2312" w:cs="楷体_GB2312"/>
          <w:b/>
          <w:bCs/>
          <w:color w:val="auto"/>
          <w:sz w:val="32"/>
          <w:szCs w:val="32"/>
          <w:highlight w:val="none"/>
          <w:lang w:val="en-US" w:eastAsia="zh-CN"/>
        </w:rPr>
        <w:t xml:space="preserve">8.2 </w:t>
      </w:r>
      <w:r>
        <w:rPr>
          <w:rFonts w:hint="eastAsia" w:ascii="楷体_GB2312" w:hAnsi="楷体_GB2312" w:eastAsia="楷体_GB2312" w:cs="楷体_GB2312"/>
          <w:b/>
          <w:bCs/>
          <w:color w:val="auto"/>
          <w:sz w:val="32"/>
          <w:szCs w:val="32"/>
          <w:highlight w:val="none"/>
        </w:rPr>
        <w:t>责任追究</w:t>
      </w:r>
      <w:bookmarkEnd w:id="98"/>
      <w:bookmarkEnd w:id="99"/>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突发环境事件应急工作中，对玩忽职守、失职、渎职的有关责任人，按照情节轻重和危害后果，对直接责任人及单位主要负责人给予相应的行政处分，对有关单位给予通报批评；违反法律法规的，由有关部门依法予以处罚；构成犯罪的，由司法机关依法追究刑事责任。</w:t>
      </w:r>
    </w:p>
    <w:p>
      <w:pPr>
        <w:pStyle w:val="18"/>
        <w:keepNext w:val="0"/>
        <w:keepLines w:val="0"/>
        <w:pageBreakBefore w:val="0"/>
        <w:kinsoku/>
        <w:wordWrap/>
        <w:overflowPunct/>
        <w:topLinePunct w:val="0"/>
        <w:bidi w:val="0"/>
        <w:snapToGrid/>
        <w:spacing w:line="560" w:lineRule="exact"/>
        <w:ind w:firstLine="640" w:firstLineChars="200"/>
        <w:textAlignment w:val="auto"/>
        <w:outlineLvl w:val="0"/>
        <w:rPr>
          <w:rFonts w:hint="eastAsia" w:ascii="黑体" w:hAnsi="黑体" w:eastAsia="黑体" w:cs="黑体"/>
          <w:color w:val="auto"/>
          <w:sz w:val="32"/>
          <w:szCs w:val="32"/>
          <w:highlight w:val="none"/>
        </w:rPr>
      </w:pPr>
      <w:bookmarkStart w:id="100" w:name="_Toc27763"/>
      <w:bookmarkStart w:id="101" w:name="_Toc15647"/>
      <w:bookmarkStart w:id="102" w:name="_Toc454283002"/>
      <w:r>
        <w:rPr>
          <w:rFonts w:hint="eastAsia" w:ascii="黑体" w:hAnsi="黑体" w:eastAsia="黑体" w:cs="黑体"/>
          <w:color w:val="auto"/>
          <w:sz w:val="32"/>
          <w:szCs w:val="32"/>
          <w:highlight w:val="none"/>
        </w:rPr>
        <w:t>九、附则</w:t>
      </w:r>
      <w:bookmarkEnd w:id="100"/>
      <w:bookmarkEnd w:id="101"/>
      <w:bookmarkEnd w:id="102"/>
    </w:p>
    <w:p>
      <w:pPr>
        <w:pStyle w:val="18"/>
        <w:keepNext w:val="0"/>
        <w:keepLines w:val="0"/>
        <w:pageBreakBefore w:val="0"/>
        <w:kinsoku/>
        <w:wordWrap/>
        <w:overflowPunct/>
        <w:topLinePunct w:val="0"/>
        <w:bidi w:val="0"/>
        <w:snapToGrid/>
        <w:spacing w:line="560" w:lineRule="exact"/>
        <w:ind w:firstLine="643" w:firstLineChars="200"/>
        <w:textAlignment w:val="auto"/>
        <w:outlineLvl w:val="1"/>
        <w:rPr>
          <w:rFonts w:hint="eastAsia" w:ascii="楷体_GB2312" w:hAnsi="楷体_GB2312" w:eastAsia="楷体_GB2312" w:cs="楷体_GB2312"/>
          <w:b/>
          <w:bCs/>
          <w:color w:val="auto"/>
          <w:sz w:val="32"/>
          <w:szCs w:val="32"/>
          <w:highlight w:val="none"/>
        </w:rPr>
      </w:pPr>
      <w:bookmarkStart w:id="103" w:name="_Toc454283003"/>
      <w:bookmarkStart w:id="104" w:name="_Toc14470"/>
      <w:bookmarkStart w:id="105" w:name="_Toc25337"/>
      <w:r>
        <w:rPr>
          <w:rFonts w:hint="eastAsia" w:ascii="楷体_GB2312" w:hAnsi="楷体_GB2312" w:eastAsia="楷体_GB2312" w:cs="楷体_GB2312"/>
          <w:b/>
          <w:bCs/>
          <w:color w:val="auto"/>
          <w:sz w:val="32"/>
          <w:szCs w:val="32"/>
          <w:highlight w:val="none"/>
          <w:lang w:val="en-US" w:eastAsia="zh-CN"/>
        </w:rPr>
        <w:t xml:space="preserve">9.1 </w:t>
      </w:r>
      <w:r>
        <w:rPr>
          <w:rFonts w:hint="eastAsia" w:ascii="楷体_GB2312" w:hAnsi="楷体_GB2312" w:eastAsia="楷体_GB2312" w:cs="楷体_GB2312"/>
          <w:b/>
          <w:bCs/>
          <w:color w:val="auto"/>
          <w:sz w:val="32"/>
          <w:szCs w:val="32"/>
          <w:highlight w:val="none"/>
        </w:rPr>
        <w:t>预案管理</w:t>
      </w:r>
      <w:bookmarkEnd w:id="103"/>
      <w:bookmarkEnd w:id="104"/>
      <w:bookmarkEnd w:id="105"/>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bookmarkStart w:id="106" w:name="_Toc424628852"/>
      <w:bookmarkStart w:id="107" w:name="_Toc410827745"/>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预案宣传</w:t>
      </w:r>
      <w:bookmarkEnd w:id="106"/>
      <w:bookmarkEnd w:id="107"/>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级人民政府应充分利用互联网、电视、广播、报刊等新闻媒体及信息网络，加强预案以及突发环境事件应急法律法规和预防、避险、自救、互救常识的宣传，及时、准确发布突发环境事件有关信息，正确引导舆论。</w:t>
      </w:r>
    </w:p>
    <w:p>
      <w:pPr>
        <w:pStyle w:val="18"/>
        <w:keepNext w:val="0"/>
        <w:keepLines w:val="0"/>
        <w:pageBreakBefore w:val="0"/>
        <w:numPr>
          <w:ilvl w:val="0"/>
          <w:numId w:val="3"/>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bookmarkStart w:id="108" w:name="_Toc410827746"/>
      <w:bookmarkStart w:id="109" w:name="_Toc424628853"/>
      <w:r>
        <w:rPr>
          <w:rFonts w:hint="eastAsia" w:ascii="仿宋_GB2312" w:hAnsi="仿宋_GB2312" w:eastAsia="仿宋_GB2312" w:cs="仿宋_GB2312"/>
          <w:color w:val="auto"/>
          <w:sz w:val="32"/>
          <w:szCs w:val="32"/>
          <w:highlight w:val="none"/>
        </w:rPr>
        <w:t>预案培训</w:t>
      </w:r>
      <w:bookmarkEnd w:id="108"/>
      <w:bookmarkEnd w:id="109"/>
    </w:p>
    <w:p>
      <w:pPr>
        <w:pStyle w:val="18"/>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各级人民政府应建立健全突发环境事件应急预案培训制度，根据应急预案职责分工，制定培训计划，明确培训内容与时间，并对培训效果进行考核，确保培训规范有序进行。</w:t>
      </w:r>
    </w:p>
    <w:p>
      <w:pPr>
        <w:pStyle w:val="18"/>
        <w:keepNext w:val="0"/>
        <w:keepLines w:val="0"/>
        <w:pageBreakBefore w:val="0"/>
        <w:numPr>
          <w:ilvl w:val="0"/>
          <w:numId w:val="3"/>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预案演练</w:t>
      </w:r>
    </w:p>
    <w:p>
      <w:pPr>
        <w:pStyle w:val="18"/>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由</w:t>
      </w:r>
      <w:r>
        <w:rPr>
          <w:rFonts w:hint="eastAsia" w:ascii="仿宋_GB2312" w:hAnsi="仿宋_GB2312" w:eastAsia="仿宋_GB2312" w:cs="仿宋_GB2312"/>
          <w:color w:val="auto"/>
          <w:sz w:val="32"/>
          <w:szCs w:val="32"/>
          <w:highlight w:val="none"/>
        </w:rPr>
        <w:t>州生态环境局负责定期组织本预案应急演练。</w:t>
      </w:r>
    </w:p>
    <w:p>
      <w:pPr>
        <w:pStyle w:val="18"/>
        <w:keepNext w:val="0"/>
        <w:keepLines w:val="0"/>
        <w:pageBreakBefore w:val="0"/>
        <w:numPr>
          <w:ilvl w:val="0"/>
          <w:numId w:val="3"/>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bookmarkStart w:id="110" w:name="_Toc424628855"/>
      <w:bookmarkStart w:id="111" w:name="_Toc410827748"/>
      <w:r>
        <w:rPr>
          <w:rFonts w:hint="eastAsia" w:ascii="仿宋_GB2312" w:hAnsi="仿宋_GB2312" w:eastAsia="仿宋_GB2312" w:cs="仿宋_GB2312"/>
          <w:color w:val="auto"/>
          <w:sz w:val="32"/>
          <w:szCs w:val="32"/>
          <w:highlight w:val="none"/>
        </w:rPr>
        <w:t>预案修订</w:t>
      </w:r>
      <w:bookmarkEnd w:id="110"/>
      <w:bookmarkEnd w:id="111"/>
    </w:p>
    <w:p>
      <w:pPr>
        <w:pStyle w:val="18"/>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《黔东南州突发环境事件应急预案》根据相关法律、行政法规及上级突发环境事件应急预案要求适时进行修订。</w:t>
      </w:r>
    </w:p>
    <w:p>
      <w:pPr>
        <w:pStyle w:val="18"/>
        <w:keepNext w:val="0"/>
        <w:keepLines w:val="0"/>
        <w:pageBreakBefore w:val="0"/>
        <w:kinsoku/>
        <w:wordWrap/>
        <w:overflowPunct/>
        <w:topLinePunct w:val="0"/>
        <w:bidi w:val="0"/>
        <w:snapToGrid/>
        <w:spacing w:line="560" w:lineRule="exact"/>
        <w:ind w:firstLine="643" w:firstLineChars="200"/>
        <w:textAlignment w:val="auto"/>
        <w:outlineLvl w:val="1"/>
        <w:rPr>
          <w:rFonts w:hint="eastAsia" w:ascii="楷体_GB2312" w:hAnsi="楷体_GB2312" w:eastAsia="楷体_GB2312" w:cs="楷体_GB2312"/>
          <w:b/>
          <w:bCs/>
          <w:color w:val="auto"/>
          <w:sz w:val="32"/>
          <w:szCs w:val="32"/>
          <w:highlight w:val="none"/>
        </w:rPr>
      </w:pPr>
      <w:bookmarkStart w:id="112" w:name="_Toc454283004"/>
      <w:bookmarkStart w:id="113" w:name="_Toc11050"/>
      <w:bookmarkStart w:id="114" w:name="_Toc18189"/>
      <w:r>
        <w:rPr>
          <w:rFonts w:hint="eastAsia" w:ascii="楷体_GB2312" w:hAnsi="楷体_GB2312" w:eastAsia="楷体_GB2312" w:cs="楷体_GB2312"/>
          <w:b/>
          <w:bCs/>
          <w:color w:val="auto"/>
          <w:sz w:val="32"/>
          <w:szCs w:val="32"/>
          <w:highlight w:val="none"/>
          <w:lang w:val="en-US" w:eastAsia="zh-CN"/>
        </w:rPr>
        <w:t xml:space="preserve">9.2 </w:t>
      </w:r>
      <w:r>
        <w:rPr>
          <w:rFonts w:hint="eastAsia" w:ascii="楷体_GB2312" w:hAnsi="楷体_GB2312" w:eastAsia="楷体_GB2312" w:cs="楷体_GB2312"/>
          <w:b/>
          <w:bCs/>
          <w:color w:val="auto"/>
          <w:sz w:val="32"/>
          <w:szCs w:val="32"/>
          <w:highlight w:val="none"/>
        </w:rPr>
        <w:t>预案解释</w:t>
      </w:r>
      <w:bookmarkEnd w:id="112"/>
      <w:bookmarkEnd w:id="113"/>
      <w:bookmarkEnd w:id="114"/>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本预案由黔东南州人民政府办公室负责解释。</w:t>
      </w:r>
    </w:p>
    <w:p>
      <w:pPr>
        <w:pStyle w:val="18"/>
        <w:keepNext w:val="0"/>
        <w:keepLines w:val="0"/>
        <w:pageBreakBefore w:val="0"/>
        <w:kinsoku/>
        <w:wordWrap/>
        <w:overflowPunct/>
        <w:topLinePunct w:val="0"/>
        <w:bidi w:val="0"/>
        <w:snapToGrid/>
        <w:spacing w:line="560" w:lineRule="exact"/>
        <w:ind w:firstLine="643" w:firstLineChars="200"/>
        <w:textAlignment w:val="auto"/>
        <w:outlineLvl w:val="1"/>
        <w:rPr>
          <w:rFonts w:hint="eastAsia" w:ascii="楷体_GB2312" w:hAnsi="楷体_GB2312" w:eastAsia="楷体_GB2312" w:cs="楷体_GB2312"/>
          <w:b/>
          <w:bCs/>
          <w:color w:val="auto"/>
          <w:sz w:val="32"/>
          <w:szCs w:val="32"/>
          <w:highlight w:val="none"/>
        </w:rPr>
      </w:pPr>
      <w:bookmarkStart w:id="115" w:name="_Toc454283005"/>
      <w:bookmarkStart w:id="116" w:name="_Toc16549"/>
      <w:bookmarkStart w:id="117" w:name="_Toc16205"/>
      <w:r>
        <w:rPr>
          <w:rFonts w:hint="eastAsia" w:ascii="楷体_GB2312" w:hAnsi="楷体_GB2312" w:eastAsia="楷体_GB2312" w:cs="楷体_GB2312"/>
          <w:b/>
          <w:bCs/>
          <w:color w:val="auto"/>
          <w:sz w:val="32"/>
          <w:szCs w:val="32"/>
          <w:highlight w:val="none"/>
          <w:lang w:val="en-US" w:eastAsia="zh-CN"/>
        </w:rPr>
        <w:t xml:space="preserve">9.3 </w:t>
      </w:r>
      <w:r>
        <w:rPr>
          <w:rFonts w:hint="eastAsia" w:ascii="楷体_GB2312" w:hAnsi="楷体_GB2312" w:eastAsia="楷体_GB2312" w:cs="楷体_GB2312"/>
          <w:b/>
          <w:bCs/>
          <w:color w:val="auto"/>
          <w:sz w:val="32"/>
          <w:szCs w:val="32"/>
          <w:highlight w:val="none"/>
        </w:rPr>
        <w:t>预案实施</w:t>
      </w:r>
      <w:bookmarkEnd w:id="115"/>
      <w:bookmarkEnd w:id="116"/>
      <w:bookmarkEnd w:id="117"/>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本预案自印发之日起实施，20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月1</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黔东南州</w:t>
      </w:r>
      <w:r>
        <w:rPr>
          <w:rFonts w:hint="eastAsia" w:ascii="仿宋_GB2312" w:hAnsi="仿宋_GB2312" w:eastAsia="仿宋_GB2312" w:cs="仿宋_GB2312"/>
          <w:color w:val="auto"/>
          <w:sz w:val="32"/>
          <w:szCs w:val="32"/>
          <w:highlight w:val="none"/>
        </w:rPr>
        <w:t>人民政府</w:t>
      </w:r>
      <w:r>
        <w:rPr>
          <w:rFonts w:hint="eastAsia" w:ascii="仿宋_GB2312" w:hAnsi="仿宋_GB2312" w:eastAsia="仿宋_GB2312" w:cs="仿宋_GB2312"/>
          <w:color w:val="auto"/>
          <w:sz w:val="32"/>
          <w:szCs w:val="32"/>
          <w:highlight w:val="none"/>
          <w:lang w:val="en-US" w:eastAsia="zh-CN"/>
        </w:rPr>
        <w:t>办公室</w:t>
      </w:r>
      <w:r>
        <w:rPr>
          <w:rFonts w:hint="eastAsia" w:ascii="仿宋_GB2312" w:hAnsi="仿宋_GB2312" w:eastAsia="仿宋_GB2312" w:cs="仿宋_GB2312"/>
          <w:color w:val="auto"/>
          <w:sz w:val="32"/>
          <w:szCs w:val="32"/>
          <w:highlight w:val="none"/>
        </w:rPr>
        <w:t>印发的《</w:t>
      </w:r>
      <w:r>
        <w:rPr>
          <w:rFonts w:hint="eastAsia" w:ascii="仿宋_GB2312" w:hAnsi="仿宋_GB2312" w:eastAsia="仿宋_GB2312" w:cs="仿宋_GB2312"/>
          <w:color w:val="auto"/>
          <w:sz w:val="32"/>
          <w:szCs w:val="32"/>
          <w:highlight w:val="none"/>
          <w:lang w:val="en-US" w:eastAsia="zh-CN"/>
        </w:rPr>
        <w:t>黔东南州</w:t>
      </w:r>
      <w:r>
        <w:rPr>
          <w:rFonts w:hint="eastAsia" w:ascii="仿宋_GB2312" w:hAnsi="仿宋_GB2312" w:eastAsia="仿宋_GB2312" w:cs="仿宋_GB2312"/>
          <w:color w:val="auto"/>
          <w:sz w:val="32"/>
          <w:szCs w:val="32"/>
          <w:highlight w:val="none"/>
        </w:rPr>
        <w:t>突发环境事件应急预案》（</w:t>
      </w:r>
      <w:r>
        <w:rPr>
          <w:rFonts w:hint="eastAsia" w:ascii="仿宋_GB2312" w:hAnsi="仿宋_GB2312" w:eastAsia="仿宋_GB2312" w:cs="仿宋_GB2312"/>
          <w:color w:val="auto"/>
          <w:sz w:val="32"/>
          <w:szCs w:val="32"/>
          <w:highlight w:val="none"/>
          <w:lang w:val="en-US" w:eastAsia="zh-CN"/>
        </w:rPr>
        <w:t>黔东南</w:t>
      </w:r>
      <w:r>
        <w:rPr>
          <w:rFonts w:hint="eastAsia" w:ascii="仿宋_GB2312" w:hAnsi="仿宋_GB2312" w:eastAsia="仿宋_GB2312" w:cs="仿宋_GB2312"/>
          <w:color w:val="auto"/>
          <w:sz w:val="32"/>
          <w:szCs w:val="32"/>
          <w:highlight w:val="none"/>
        </w:rPr>
        <w:t>府办</w:t>
      </w:r>
      <w:r>
        <w:rPr>
          <w:rFonts w:hint="eastAsia" w:ascii="仿宋_GB2312" w:hAnsi="仿宋_GB2312" w:eastAsia="仿宋_GB2312" w:cs="仿宋_GB2312"/>
          <w:color w:val="auto"/>
          <w:sz w:val="32"/>
          <w:szCs w:val="32"/>
          <w:highlight w:val="none"/>
          <w:lang w:val="en-US" w:eastAsia="zh-CN"/>
        </w:rPr>
        <w:t>函</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62</w:t>
      </w:r>
      <w:r>
        <w:rPr>
          <w:rFonts w:hint="eastAsia" w:ascii="仿宋_GB2312" w:hAnsi="仿宋_GB2312" w:eastAsia="仿宋_GB2312" w:cs="仿宋_GB2312"/>
          <w:color w:val="auto"/>
          <w:sz w:val="32"/>
          <w:szCs w:val="32"/>
          <w:highlight w:val="none"/>
        </w:rPr>
        <w:t>号）同时废止。</w:t>
      </w:r>
    </w:p>
    <w:p>
      <w:pPr>
        <w:pStyle w:val="2"/>
        <w:rPr>
          <w:rFonts w:hint="eastAsia" w:ascii="黑体" w:hAnsi="黑体" w:eastAsia="黑体" w:cs="黑体"/>
          <w:color w:val="auto"/>
          <w:sz w:val="32"/>
          <w:szCs w:val="32"/>
          <w:highlight w:val="none"/>
        </w:rPr>
      </w:pPr>
    </w:p>
    <w:p>
      <w:pPr>
        <w:pStyle w:val="2"/>
        <w:rPr>
          <w:rFonts w:hint="eastAsia" w:ascii="黑体" w:hAnsi="黑体" w:eastAsia="黑体" w:cs="黑体"/>
          <w:color w:val="auto"/>
          <w:sz w:val="32"/>
          <w:szCs w:val="32"/>
          <w:highlight w:val="none"/>
        </w:rPr>
      </w:pPr>
    </w:p>
    <w:p>
      <w:pPr>
        <w:pStyle w:val="18"/>
        <w:keepNext w:val="0"/>
        <w:keepLines w:val="0"/>
        <w:pageBreakBefore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附件</w:t>
      </w:r>
      <w:r>
        <w:rPr>
          <w:rFonts w:hint="eastAsia" w:ascii="仿宋_GB2312" w:hAnsi="仿宋_GB2312" w:eastAsia="仿宋_GB2312" w:cs="仿宋_GB2312"/>
          <w:b/>
          <w:bCs/>
          <w:color w:val="auto"/>
          <w:sz w:val="32"/>
          <w:szCs w:val="32"/>
          <w:highlight w:val="none"/>
          <w:lang w:eastAsia="zh-CN"/>
        </w:rPr>
        <w:t>：</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1.突发环境事件分级标准</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2.现场应急组织机构</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3.预警信息发布模板</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4.信息报告模板</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5.突发事件应对处置流程图</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bCs/>
          <w:color w:val="auto"/>
          <w:kern w:val="2"/>
          <w:sz w:val="32"/>
          <w:szCs w:val="32"/>
          <w:highlight w:val="none"/>
        </w:rPr>
        <w:t>各类突发环境事件应急处置原则</w:t>
      </w:r>
    </w:p>
    <w:p>
      <w:pPr>
        <w:pStyle w:val="1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7.专家组成员名单</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8.环境应急物资储备清单</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9.州生态环境安全应急指挥部成员单位联系</w:t>
      </w:r>
      <w:r>
        <w:rPr>
          <w:rFonts w:hint="eastAsia" w:ascii="仿宋_GB2312" w:hAnsi="仿宋_GB2312" w:eastAsia="仿宋_GB2312" w:cs="仿宋_GB2312"/>
          <w:color w:val="auto"/>
          <w:sz w:val="32"/>
          <w:szCs w:val="32"/>
          <w:highlight w:val="none"/>
          <w:lang w:val="en-US" w:eastAsia="zh-CN"/>
        </w:rPr>
        <w:t>方式</w:t>
      </w:r>
    </w:p>
    <w:p>
      <w:pPr>
        <w:pStyle w:val="2"/>
        <w:rPr>
          <w:rFonts w:hint="eastAsia" w:ascii="黑体" w:hAnsi="黑体" w:eastAsia="黑体" w:cs="黑体"/>
          <w:color w:val="auto"/>
          <w:sz w:val="32"/>
          <w:szCs w:val="32"/>
          <w:highlight w:val="none"/>
        </w:rPr>
      </w:pPr>
    </w:p>
    <w:p>
      <w:pPr>
        <w:pStyle w:val="2"/>
        <w:rPr>
          <w:rFonts w:hint="eastAsia" w:ascii="黑体" w:hAnsi="黑体" w:eastAsia="黑体" w:cs="黑体"/>
          <w:color w:val="auto"/>
          <w:sz w:val="32"/>
          <w:szCs w:val="32"/>
          <w:highlight w:val="none"/>
        </w:rPr>
        <w:sectPr>
          <w:footerReference r:id="rId4" w:type="default"/>
          <w:pgSz w:w="11906" w:h="16838"/>
          <w:pgMar w:top="1417" w:right="1417" w:bottom="1417" w:left="1417" w:header="851" w:footer="992" w:gutter="0"/>
          <w:pgNumType w:fmt="decimal" w:start="1"/>
          <w:cols w:space="425" w:num="1"/>
          <w:docGrid w:type="lines" w:linePitch="312" w:charSpace="0"/>
        </w:sectPr>
      </w:pPr>
    </w:p>
    <w:p>
      <w:pPr>
        <w:spacing w:line="560" w:lineRule="exact"/>
        <w:outlineLvl w:val="1"/>
        <w:rPr>
          <w:rFonts w:eastAsia="楷体_GB2312"/>
          <w:b/>
          <w:color w:val="auto"/>
          <w:sz w:val="32"/>
          <w:szCs w:val="32"/>
          <w:highlight w:val="none"/>
        </w:rPr>
      </w:pPr>
      <w:bookmarkStart w:id="118" w:name="_Toc17749"/>
      <w:bookmarkStart w:id="119" w:name="_Toc454283007"/>
      <w:bookmarkStart w:id="120" w:name="_Toc11266"/>
      <w:r>
        <w:rPr>
          <w:rFonts w:hint="eastAsia" w:eastAsia="楷体_GB2312"/>
          <w:b/>
          <w:color w:val="auto"/>
          <w:sz w:val="32"/>
          <w:szCs w:val="32"/>
          <w:highlight w:val="none"/>
        </w:rPr>
        <w:t>附件 1 突发环境事件分级标准</w:t>
      </w:r>
      <w:bookmarkEnd w:id="118"/>
      <w:bookmarkEnd w:id="119"/>
      <w:bookmarkEnd w:id="120"/>
    </w:p>
    <w:p>
      <w:pPr>
        <w:spacing w:after="156" w:afterLines="50" w:line="440" w:lineRule="exact"/>
        <w:ind w:firstLine="562" w:firstLineChars="200"/>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突发环境事件分级标准</w:t>
      </w:r>
    </w:p>
    <w:tbl>
      <w:tblPr>
        <w:tblStyle w:val="13"/>
        <w:tblW w:w="14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420"/>
        <w:gridCol w:w="1420"/>
        <w:gridCol w:w="10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82" w:type="dxa"/>
            <w:noWrap w:val="0"/>
            <w:vAlign w:val="center"/>
          </w:tcPr>
          <w:p>
            <w:pPr>
              <w:spacing w:line="460" w:lineRule="exact"/>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事件级别</w:t>
            </w:r>
          </w:p>
        </w:tc>
        <w:tc>
          <w:tcPr>
            <w:tcW w:w="1420" w:type="dxa"/>
            <w:noWrap w:val="0"/>
            <w:vAlign w:val="center"/>
          </w:tcPr>
          <w:p>
            <w:pPr>
              <w:spacing w:line="460" w:lineRule="exact"/>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事件类别</w:t>
            </w:r>
          </w:p>
        </w:tc>
        <w:tc>
          <w:tcPr>
            <w:tcW w:w="1420" w:type="dxa"/>
            <w:noWrap w:val="0"/>
            <w:vAlign w:val="center"/>
          </w:tcPr>
          <w:p>
            <w:pPr>
              <w:spacing w:line="460" w:lineRule="exact"/>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表示颜色</w:t>
            </w:r>
          </w:p>
        </w:tc>
        <w:tc>
          <w:tcPr>
            <w:tcW w:w="10061" w:type="dxa"/>
            <w:noWrap w:val="0"/>
            <w:vAlign w:val="center"/>
          </w:tcPr>
          <w:p>
            <w:pPr>
              <w:spacing w:line="460" w:lineRule="exact"/>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spacing w:line="4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Ⅰ级</w:t>
            </w:r>
          </w:p>
        </w:tc>
        <w:tc>
          <w:tcPr>
            <w:tcW w:w="1420" w:type="dxa"/>
            <w:noWrap w:val="0"/>
            <w:vAlign w:val="center"/>
          </w:tcPr>
          <w:p>
            <w:pPr>
              <w:spacing w:line="460" w:lineRule="exact"/>
              <w:jc w:val="center"/>
              <w:rPr>
                <w:rFonts w:eastAsia="仿宋_GB2312"/>
                <w:color w:val="auto"/>
                <w:sz w:val="28"/>
                <w:szCs w:val="28"/>
                <w:highlight w:val="none"/>
              </w:rPr>
            </w:pPr>
            <w:r>
              <w:rPr>
                <w:rFonts w:hint="eastAsia" w:eastAsia="仿宋_GB2312"/>
                <w:color w:val="auto"/>
                <w:sz w:val="28"/>
                <w:szCs w:val="28"/>
                <w:highlight w:val="none"/>
              </w:rPr>
              <w:t>特别重大</w:t>
            </w:r>
          </w:p>
        </w:tc>
        <w:tc>
          <w:tcPr>
            <w:tcW w:w="1420" w:type="dxa"/>
            <w:noWrap w:val="0"/>
            <w:vAlign w:val="center"/>
          </w:tcPr>
          <w:p>
            <w:pPr>
              <w:spacing w:line="460" w:lineRule="exact"/>
              <w:jc w:val="center"/>
              <w:rPr>
                <w:rFonts w:eastAsia="仿宋_GB2312"/>
                <w:color w:val="auto"/>
                <w:sz w:val="28"/>
                <w:szCs w:val="28"/>
                <w:highlight w:val="none"/>
              </w:rPr>
            </w:pPr>
            <w:r>
              <w:rPr>
                <w:rFonts w:hint="eastAsia" w:eastAsia="仿宋_GB2312"/>
                <w:color w:val="auto"/>
                <w:sz w:val="28"/>
                <w:szCs w:val="28"/>
                <w:highlight w:val="none"/>
              </w:rPr>
              <w:t>红色</w:t>
            </w:r>
          </w:p>
        </w:tc>
        <w:tc>
          <w:tcPr>
            <w:tcW w:w="10061" w:type="dxa"/>
            <w:noWrap w:val="0"/>
            <w:vAlign w:val="center"/>
          </w:tcPr>
          <w:p>
            <w:pPr>
              <w:spacing w:line="460" w:lineRule="exact"/>
              <w:ind w:firstLine="280" w:firstLineChars="100"/>
              <w:rPr>
                <w:rFonts w:eastAsia="仿宋_GB2312"/>
                <w:color w:val="auto"/>
                <w:sz w:val="28"/>
                <w:szCs w:val="28"/>
                <w:highlight w:val="none"/>
              </w:rPr>
            </w:pPr>
            <w:r>
              <w:rPr>
                <w:rFonts w:eastAsia="仿宋_GB2312"/>
                <w:color w:val="auto"/>
                <w:sz w:val="28"/>
                <w:szCs w:val="28"/>
                <w:highlight w:val="none"/>
              </w:rPr>
              <w:t>凡符合下列情形之一的，为特别重大突发环境事件：</w:t>
            </w:r>
          </w:p>
          <w:p>
            <w:pPr>
              <w:spacing w:line="460" w:lineRule="exact"/>
              <w:ind w:firstLine="280" w:firstLineChars="100"/>
              <w:rPr>
                <w:rFonts w:eastAsia="仿宋_GB2312"/>
                <w:color w:val="auto"/>
                <w:sz w:val="28"/>
                <w:szCs w:val="28"/>
                <w:highlight w:val="none"/>
              </w:rPr>
            </w:pPr>
            <w:r>
              <w:rPr>
                <w:rFonts w:hint="eastAsia" w:eastAsia="仿宋_GB2312"/>
                <w:color w:val="auto"/>
                <w:sz w:val="28"/>
                <w:szCs w:val="28"/>
                <w:highlight w:val="none"/>
              </w:rPr>
              <w:t>（1）</w:t>
            </w:r>
            <w:r>
              <w:rPr>
                <w:rFonts w:eastAsia="仿宋_GB2312"/>
                <w:color w:val="auto"/>
                <w:sz w:val="28"/>
                <w:szCs w:val="28"/>
                <w:highlight w:val="none"/>
              </w:rPr>
              <w:t>因环境污染直接导致30人以上死亡或100人以上中毒或重伤的；</w:t>
            </w:r>
          </w:p>
          <w:p>
            <w:pPr>
              <w:spacing w:line="460" w:lineRule="exact"/>
              <w:ind w:firstLine="280" w:firstLineChars="100"/>
              <w:rPr>
                <w:rFonts w:eastAsia="仿宋_GB2312"/>
                <w:color w:val="auto"/>
                <w:sz w:val="28"/>
                <w:szCs w:val="28"/>
                <w:highlight w:val="none"/>
              </w:rPr>
            </w:pPr>
            <w:r>
              <w:rPr>
                <w:rFonts w:hint="eastAsia" w:eastAsia="仿宋_GB2312"/>
                <w:color w:val="auto"/>
                <w:sz w:val="28"/>
                <w:szCs w:val="28"/>
                <w:highlight w:val="none"/>
              </w:rPr>
              <w:t>（2）</w:t>
            </w:r>
            <w:r>
              <w:rPr>
                <w:rFonts w:eastAsia="仿宋_GB2312"/>
                <w:color w:val="auto"/>
                <w:sz w:val="28"/>
                <w:szCs w:val="28"/>
                <w:highlight w:val="none"/>
              </w:rPr>
              <w:t>因环境污染疏散、转移人员5万人以上的；</w:t>
            </w:r>
          </w:p>
          <w:p>
            <w:pPr>
              <w:spacing w:line="460" w:lineRule="exact"/>
              <w:ind w:firstLine="280" w:firstLineChars="100"/>
              <w:rPr>
                <w:rFonts w:eastAsia="仿宋_GB2312"/>
                <w:color w:val="auto"/>
                <w:sz w:val="28"/>
                <w:szCs w:val="28"/>
                <w:highlight w:val="none"/>
              </w:rPr>
            </w:pPr>
            <w:r>
              <w:rPr>
                <w:rFonts w:hint="eastAsia" w:eastAsia="仿宋_GB2312"/>
                <w:color w:val="auto"/>
                <w:sz w:val="28"/>
                <w:szCs w:val="28"/>
                <w:highlight w:val="none"/>
              </w:rPr>
              <w:t>（3）</w:t>
            </w:r>
            <w:r>
              <w:rPr>
                <w:rFonts w:eastAsia="仿宋_GB2312"/>
                <w:color w:val="auto"/>
                <w:sz w:val="28"/>
                <w:szCs w:val="28"/>
                <w:highlight w:val="none"/>
              </w:rPr>
              <w:t>因环境污染造成直接经济损失1亿元以上的；</w:t>
            </w:r>
          </w:p>
          <w:p>
            <w:pPr>
              <w:spacing w:line="460" w:lineRule="exact"/>
              <w:ind w:firstLine="280" w:firstLineChars="100"/>
              <w:rPr>
                <w:rFonts w:eastAsia="仿宋_GB2312"/>
                <w:color w:val="auto"/>
                <w:sz w:val="28"/>
                <w:szCs w:val="28"/>
                <w:highlight w:val="none"/>
              </w:rPr>
            </w:pPr>
            <w:r>
              <w:rPr>
                <w:rFonts w:hint="eastAsia" w:eastAsia="仿宋_GB2312"/>
                <w:color w:val="auto"/>
                <w:sz w:val="28"/>
                <w:szCs w:val="28"/>
                <w:highlight w:val="none"/>
              </w:rPr>
              <w:t>（4）</w:t>
            </w:r>
            <w:r>
              <w:rPr>
                <w:rFonts w:eastAsia="仿宋_GB2312"/>
                <w:color w:val="auto"/>
                <w:sz w:val="28"/>
                <w:szCs w:val="28"/>
                <w:highlight w:val="none"/>
              </w:rPr>
              <w:t>因环境污染造成区域生态功能丧失或该区域国家重点保护物种灭绝的；</w:t>
            </w:r>
          </w:p>
          <w:p>
            <w:pPr>
              <w:spacing w:line="460" w:lineRule="exact"/>
              <w:ind w:firstLine="280" w:firstLineChars="100"/>
              <w:rPr>
                <w:rFonts w:eastAsia="仿宋_GB2312"/>
                <w:color w:val="auto"/>
                <w:sz w:val="28"/>
                <w:szCs w:val="28"/>
                <w:highlight w:val="none"/>
              </w:rPr>
            </w:pPr>
            <w:r>
              <w:rPr>
                <w:rFonts w:hint="eastAsia" w:eastAsia="仿宋_GB2312"/>
                <w:color w:val="auto"/>
                <w:sz w:val="28"/>
                <w:szCs w:val="28"/>
                <w:highlight w:val="none"/>
              </w:rPr>
              <w:t>（5）</w:t>
            </w:r>
            <w:r>
              <w:rPr>
                <w:rFonts w:eastAsia="仿宋_GB2312"/>
                <w:color w:val="auto"/>
                <w:sz w:val="28"/>
                <w:szCs w:val="28"/>
                <w:highlight w:val="none"/>
              </w:rPr>
              <w:t>因环境污染造成设区的市级以上城市集中式饮用水水源地取水中断的；</w:t>
            </w:r>
          </w:p>
          <w:p>
            <w:pPr>
              <w:spacing w:line="460" w:lineRule="exact"/>
              <w:ind w:firstLine="280" w:firstLineChars="100"/>
              <w:rPr>
                <w:rFonts w:eastAsia="仿宋_GB2312"/>
                <w:color w:val="auto"/>
                <w:sz w:val="28"/>
                <w:szCs w:val="28"/>
                <w:highlight w:val="none"/>
              </w:rPr>
            </w:pPr>
            <w:r>
              <w:rPr>
                <w:rFonts w:hint="eastAsia" w:eastAsia="仿宋_GB2312"/>
                <w:color w:val="auto"/>
                <w:sz w:val="28"/>
                <w:szCs w:val="28"/>
                <w:highlight w:val="none"/>
              </w:rPr>
              <w:t>（6）Ⅰ</w:t>
            </w:r>
            <w:r>
              <w:rPr>
                <w:rFonts w:eastAsia="仿宋_GB2312"/>
                <w:color w:val="auto"/>
                <w:sz w:val="28"/>
                <w:szCs w:val="28"/>
                <w:highlight w:val="none"/>
              </w:rPr>
              <w:t>、</w:t>
            </w:r>
            <w:r>
              <w:rPr>
                <w:rFonts w:hint="eastAsia" w:eastAsia="仿宋_GB2312"/>
                <w:color w:val="auto"/>
                <w:sz w:val="28"/>
                <w:szCs w:val="28"/>
                <w:highlight w:val="none"/>
              </w:rPr>
              <w:t>Ⅱ</w:t>
            </w:r>
            <w:r>
              <w:rPr>
                <w:rFonts w:eastAsia="仿宋_GB2312"/>
                <w:color w:val="auto"/>
                <w:sz w:val="28"/>
                <w:szCs w:val="28"/>
                <w:highlight w:val="none"/>
              </w:rPr>
              <w:t>类放射源丢失、被盗、失控并造成大范围严重辐射污染后果的；放射性同位素和射线装置失控导致3人以上急性死亡的；放射性物质泄漏，造成大范围辐射污染后果的；</w:t>
            </w:r>
          </w:p>
          <w:p>
            <w:pPr>
              <w:spacing w:line="460" w:lineRule="exact"/>
              <w:ind w:firstLine="280" w:firstLineChars="100"/>
              <w:rPr>
                <w:rFonts w:ascii="宋体" w:hAnsi="宋体" w:eastAsia="宋体" w:cs="宋体"/>
                <w:color w:val="auto"/>
                <w:kern w:val="0"/>
                <w:sz w:val="28"/>
                <w:szCs w:val="28"/>
                <w:highlight w:val="none"/>
              </w:rPr>
            </w:pPr>
            <w:r>
              <w:rPr>
                <w:rFonts w:hint="eastAsia" w:eastAsia="仿宋_GB2312"/>
                <w:color w:val="auto"/>
                <w:sz w:val="28"/>
                <w:szCs w:val="28"/>
                <w:highlight w:val="none"/>
              </w:rPr>
              <w:t>（7）</w:t>
            </w:r>
            <w:r>
              <w:rPr>
                <w:rFonts w:eastAsia="仿宋_GB2312"/>
                <w:color w:val="auto"/>
                <w:sz w:val="28"/>
                <w:szCs w:val="28"/>
                <w:highlight w:val="none"/>
              </w:rPr>
              <w:t>造成重大跨国境影响的境内突发环境事件。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spacing w:line="4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Ⅱ级</w:t>
            </w:r>
          </w:p>
        </w:tc>
        <w:tc>
          <w:tcPr>
            <w:tcW w:w="1420" w:type="dxa"/>
            <w:noWrap w:val="0"/>
            <w:vAlign w:val="center"/>
          </w:tcPr>
          <w:p>
            <w:pPr>
              <w:spacing w:line="4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重大</w:t>
            </w:r>
          </w:p>
        </w:tc>
        <w:tc>
          <w:tcPr>
            <w:tcW w:w="1420" w:type="dxa"/>
            <w:noWrap w:val="0"/>
            <w:vAlign w:val="center"/>
          </w:tcPr>
          <w:p>
            <w:pPr>
              <w:spacing w:line="4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橙色</w:t>
            </w:r>
          </w:p>
        </w:tc>
        <w:tc>
          <w:tcPr>
            <w:tcW w:w="10061" w:type="dxa"/>
            <w:noWrap w:val="0"/>
            <w:vAlign w:val="center"/>
          </w:tcPr>
          <w:p>
            <w:pPr>
              <w:spacing w:line="460" w:lineRule="exact"/>
              <w:ind w:firstLine="280" w:firstLineChars="100"/>
              <w:rPr>
                <w:rFonts w:eastAsia="仿宋_GB2312"/>
                <w:color w:val="auto"/>
                <w:sz w:val="28"/>
                <w:szCs w:val="28"/>
                <w:highlight w:val="none"/>
              </w:rPr>
            </w:pPr>
            <w:r>
              <w:rPr>
                <w:rFonts w:eastAsia="仿宋_GB2312"/>
                <w:color w:val="auto"/>
                <w:sz w:val="28"/>
                <w:szCs w:val="28"/>
                <w:highlight w:val="none"/>
              </w:rPr>
              <w:t>凡符合下列情形之一的，为重大突发环境事件：</w:t>
            </w:r>
          </w:p>
          <w:p>
            <w:pPr>
              <w:spacing w:line="460" w:lineRule="exact"/>
              <w:ind w:firstLine="280" w:firstLineChars="100"/>
              <w:rPr>
                <w:rFonts w:eastAsia="仿宋_GB2312"/>
                <w:color w:val="auto"/>
                <w:sz w:val="28"/>
                <w:szCs w:val="28"/>
                <w:highlight w:val="none"/>
              </w:rPr>
            </w:pPr>
            <w:r>
              <w:rPr>
                <w:rFonts w:hint="eastAsia" w:eastAsia="仿宋_GB2312"/>
                <w:color w:val="auto"/>
                <w:sz w:val="28"/>
                <w:szCs w:val="28"/>
                <w:highlight w:val="none"/>
              </w:rPr>
              <w:t>（1）</w:t>
            </w:r>
            <w:r>
              <w:rPr>
                <w:rFonts w:eastAsia="仿宋_GB2312"/>
                <w:color w:val="auto"/>
                <w:sz w:val="28"/>
                <w:szCs w:val="28"/>
                <w:highlight w:val="none"/>
              </w:rPr>
              <w:t>因环境污染直接导致10人以上30人以下死亡或50人以上100人以下中毒或重伤的；</w:t>
            </w:r>
          </w:p>
          <w:p>
            <w:pPr>
              <w:spacing w:line="460" w:lineRule="exact"/>
              <w:ind w:firstLine="280" w:firstLineChars="100"/>
              <w:rPr>
                <w:rFonts w:eastAsia="仿宋_GB2312"/>
                <w:color w:val="auto"/>
                <w:sz w:val="28"/>
                <w:szCs w:val="28"/>
                <w:highlight w:val="none"/>
              </w:rPr>
            </w:pPr>
            <w:r>
              <w:rPr>
                <w:rFonts w:hint="eastAsia" w:eastAsia="仿宋_GB2312"/>
                <w:color w:val="auto"/>
                <w:sz w:val="28"/>
                <w:szCs w:val="28"/>
                <w:highlight w:val="none"/>
              </w:rPr>
              <w:t>（2）</w:t>
            </w:r>
            <w:r>
              <w:rPr>
                <w:rFonts w:eastAsia="仿宋_GB2312"/>
                <w:color w:val="auto"/>
                <w:sz w:val="28"/>
                <w:szCs w:val="28"/>
                <w:highlight w:val="none"/>
              </w:rPr>
              <w:t>因环境污染疏散、转移人员1万人以上5万人以下的；</w:t>
            </w:r>
          </w:p>
          <w:p>
            <w:pPr>
              <w:spacing w:line="460" w:lineRule="exact"/>
              <w:ind w:firstLine="280" w:firstLineChars="100"/>
              <w:rPr>
                <w:rFonts w:eastAsia="仿宋_GB2312"/>
                <w:color w:val="auto"/>
                <w:sz w:val="28"/>
                <w:szCs w:val="28"/>
                <w:highlight w:val="none"/>
              </w:rPr>
            </w:pPr>
            <w:r>
              <w:rPr>
                <w:rFonts w:hint="eastAsia" w:eastAsia="仿宋_GB2312"/>
                <w:color w:val="auto"/>
                <w:sz w:val="28"/>
                <w:szCs w:val="28"/>
                <w:highlight w:val="none"/>
              </w:rPr>
              <w:t>（3）</w:t>
            </w:r>
            <w:r>
              <w:rPr>
                <w:rFonts w:eastAsia="仿宋_GB2312"/>
                <w:color w:val="auto"/>
                <w:sz w:val="28"/>
                <w:szCs w:val="28"/>
                <w:highlight w:val="none"/>
              </w:rPr>
              <w:t>因环境污染造成直接经济损失2000万元以上1亿元以下的；</w:t>
            </w:r>
          </w:p>
          <w:p>
            <w:pPr>
              <w:spacing w:line="460" w:lineRule="exact"/>
              <w:ind w:firstLine="280" w:firstLineChars="100"/>
              <w:rPr>
                <w:rFonts w:eastAsia="仿宋_GB2312"/>
                <w:color w:val="auto"/>
                <w:sz w:val="28"/>
                <w:szCs w:val="28"/>
                <w:highlight w:val="none"/>
              </w:rPr>
            </w:pPr>
            <w:r>
              <w:rPr>
                <w:rFonts w:hint="eastAsia" w:eastAsia="仿宋_GB2312"/>
                <w:color w:val="auto"/>
                <w:sz w:val="28"/>
                <w:szCs w:val="28"/>
                <w:highlight w:val="none"/>
              </w:rPr>
              <w:t>（4）</w:t>
            </w:r>
            <w:r>
              <w:rPr>
                <w:rFonts w:eastAsia="仿宋_GB2312"/>
                <w:color w:val="auto"/>
                <w:sz w:val="28"/>
                <w:szCs w:val="28"/>
                <w:highlight w:val="none"/>
              </w:rPr>
              <w:t>因环境污染造成区域生态功能部分丧失或该区域国家重点保护野生动植物种群大批死亡的；</w:t>
            </w:r>
          </w:p>
          <w:p>
            <w:pPr>
              <w:spacing w:line="460" w:lineRule="exact"/>
              <w:ind w:firstLine="280" w:firstLineChars="100"/>
              <w:rPr>
                <w:rFonts w:eastAsia="仿宋_GB2312"/>
                <w:color w:val="auto"/>
                <w:sz w:val="28"/>
                <w:szCs w:val="28"/>
                <w:highlight w:val="none"/>
              </w:rPr>
            </w:pPr>
            <w:r>
              <w:rPr>
                <w:rFonts w:hint="eastAsia" w:eastAsia="仿宋_GB2312"/>
                <w:color w:val="auto"/>
                <w:sz w:val="28"/>
                <w:szCs w:val="28"/>
                <w:highlight w:val="none"/>
              </w:rPr>
              <w:t>（5）</w:t>
            </w:r>
            <w:r>
              <w:rPr>
                <w:rFonts w:eastAsia="仿宋_GB2312"/>
                <w:color w:val="auto"/>
                <w:sz w:val="28"/>
                <w:szCs w:val="28"/>
                <w:highlight w:val="none"/>
              </w:rPr>
              <w:t>因环境污染造成县级城市集中式饮用水水源地取水中断的；</w:t>
            </w:r>
          </w:p>
          <w:p>
            <w:pPr>
              <w:spacing w:line="460" w:lineRule="exact"/>
              <w:ind w:firstLine="280" w:firstLineChars="100"/>
              <w:rPr>
                <w:rFonts w:eastAsia="仿宋_GB2312"/>
                <w:color w:val="auto"/>
                <w:sz w:val="28"/>
                <w:szCs w:val="28"/>
                <w:highlight w:val="none"/>
              </w:rPr>
            </w:pPr>
            <w:r>
              <w:rPr>
                <w:rFonts w:hint="eastAsia" w:eastAsia="仿宋_GB2312"/>
                <w:color w:val="auto"/>
                <w:sz w:val="28"/>
                <w:szCs w:val="28"/>
                <w:highlight w:val="none"/>
              </w:rPr>
              <w:t>（6）Ⅰ</w:t>
            </w:r>
            <w:r>
              <w:rPr>
                <w:rFonts w:eastAsia="仿宋_GB2312"/>
                <w:color w:val="auto"/>
                <w:sz w:val="28"/>
                <w:szCs w:val="28"/>
                <w:highlight w:val="none"/>
              </w:rPr>
              <w:t>、</w:t>
            </w:r>
            <w:r>
              <w:rPr>
                <w:rFonts w:hint="eastAsia" w:eastAsia="仿宋_GB2312"/>
                <w:color w:val="auto"/>
                <w:sz w:val="28"/>
                <w:szCs w:val="28"/>
                <w:highlight w:val="none"/>
              </w:rPr>
              <w:t>Ⅱ</w:t>
            </w:r>
            <w:r>
              <w:rPr>
                <w:rFonts w:eastAsia="仿宋_GB2312"/>
                <w:color w:val="auto"/>
                <w:sz w:val="28"/>
                <w:szCs w:val="28"/>
                <w:highlight w:val="none"/>
              </w:rPr>
              <w:t>类放射源丢失、被盗的；放射性同位素和射线装置失控导致3人以下急性死亡或者10人以上急性重度放射病、局部器官残疾的；放射性物质泄漏，造成较大范围辐射污染后果的；</w:t>
            </w:r>
          </w:p>
          <w:p>
            <w:pPr>
              <w:spacing w:line="460" w:lineRule="exact"/>
              <w:ind w:firstLine="280" w:firstLineChars="100"/>
              <w:rPr>
                <w:rFonts w:ascii="仿宋_GB2312" w:eastAsia="仿宋_GB2312"/>
                <w:b/>
                <w:color w:val="auto"/>
                <w:sz w:val="28"/>
                <w:szCs w:val="28"/>
                <w:highlight w:val="none"/>
              </w:rPr>
            </w:pPr>
            <w:r>
              <w:rPr>
                <w:rFonts w:hint="eastAsia" w:eastAsia="仿宋_GB2312"/>
                <w:color w:val="auto"/>
                <w:sz w:val="28"/>
                <w:szCs w:val="28"/>
                <w:highlight w:val="none"/>
              </w:rPr>
              <w:t>（7）</w:t>
            </w:r>
            <w:r>
              <w:rPr>
                <w:rFonts w:eastAsia="仿宋_GB2312"/>
                <w:color w:val="auto"/>
                <w:sz w:val="28"/>
                <w:szCs w:val="28"/>
                <w:highlight w:val="none"/>
              </w:rPr>
              <w:t>造成跨省级行政区域影响的突发环境事件。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spacing w:line="4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Ⅲ级</w:t>
            </w:r>
          </w:p>
        </w:tc>
        <w:tc>
          <w:tcPr>
            <w:tcW w:w="1420" w:type="dxa"/>
            <w:noWrap w:val="0"/>
            <w:vAlign w:val="center"/>
          </w:tcPr>
          <w:p>
            <w:pPr>
              <w:spacing w:line="4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较大</w:t>
            </w:r>
          </w:p>
        </w:tc>
        <w:tc>
          <w:tcPr>
            <w:tcW w:w="1420" w:type="dxa"/>
            <w:noWrap w:val="0"/>
            <w:vAlign w:val="center"/>
          </w:tcPr>
          <w:p>
            <w:pPr>
              <w:spacing w:line="4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黄色</w:t>
            </w:r>
          </w:p>
        </w:tc>
        <w:tc>
          <w:tcPr>
            <w:tcW w:w="10061" w:type="dxa"/>
            <w:noWrap w:val="0"/>
            <w:vAlign w:val="center"/>
          </w:tcPr>
          <w:p>
            <w:pPr>
              <w:spacing w:line="460" w:lineRule="exact"/>
              <w:ind w:firstLine="280" w:firstLineChars="100"/>
              <w:rPr>
                <w:rFonts w:eastAsia="仿宋_GB2312"/>
                <w:color w:val="auto"/>
                <w:sz w:val="28"/>
                <w:szCs w:val="28"/>
                <w:highlight w:val="none"/>
              </w:rPr>
            </w:pPr>
            <w:r>
              <w:rPr>
                <w:rFonts w:eastAsia="仿宋_GB2312"/>
                <w:color w:val="auto"/>
                <w:sz w:val="28"/>
                <w:szCs w:val="28"/>
                <w:highlight w:val="none"/>
              </w:rPr>
              <w:t>凡符合下列情形之一的，为较大突发环境事件：</w:t>
            </w:r>
          </w:p>
          <w:p>
            <w:pPr>
              <w:spacing w:line="460" w:lineRule="exact"/>
              <w:ind w:firstLine="280" w:firstLineChars="100"/>
              <w:rPr>
                <w:rFonts w:eastAsia="仿宋_GB2312"/>
                <w:color w:val="auto"/>
                <w:sz w:val="28"/>
                <w:szCs w:val="28"/>
                <w:highlight w:val="none"/>
              </w:rPr>
            </w:pPr>
            <w:r>
              <w:rPr>
                <w:rFonts w:hint="eastAsia" w:eastAsia="仿宋_GB2312"/>
                <w:color w:val="auto"/>
                <w:sz w:val="28"/>
                <w:szCs w:val="28"/>
                <w:highlight w:val="none"/>
              </w:rPr>
              <w:t>（1）</w:t>
            </w:r>
            <w:r>
              <w:rPr>
                <w:rFonts w:eastAsia="仿宋_GB2312"/>
                <w:color w:val="auto"/>
                <w:sz w:val="28"/>
                <w:szCs w:val="28"/>
                <w:highlight w:val="none"/>
              </w:rPr>
              <w:t>因环境污染直接导致3人以上10人以下死亡或10人以上50人以下中毒或重伤的；</w:t>
            </w:r>
          </w:p>
          <w:p>
            <w:pPr>
              <w:spacing w:line="460" w:lineRule="exact"/>
              <w:ind w:firstLine="280" w:firstLineChars="100"/>
              <w:rPr>
                <w:rFonts w:eastAsia="仿宋_GB2312"/>
                <w:color w:val="auto"/>
                <w:sz w:val="28"/>
                <w:szCs w:val="28"/>
                <w:highlight w:val="none"/>
              </w:rPr>
            </w:pPr>
            <w:r>
              <w:rPr>
                <w:rFonts w:hint="eastAsia" w:eastAsia="仿宋_GB2312"/>
                <w:color w:val="auto"/>
                <w:sz w:val="28"/>
                <w:szCs w:val="28"/>
                <w:highlight w:val="none"/>
              </w:rPr>
              <w:t>（2）</w:t>
            </w:r>
            <w:r>
              <w:rPr>
                <w:rFonts w:eastAsia="仿宋_GB2312"/>
                <w:color w:val="auto"/>
                <w:sz w:val="28"/>
                <w:szCs w:val="28"/>
                <w:highlight w:val="none"/>
              </w:rPr>
              <w:t>因环境污染疏散、转移人员5000人以上1万人以下的；</w:t>
            </w:r>
          </w:p>
          <w:p>
            <w:pPr>
              <w:spacing w:line="460" w:lineRule="exact"/>
              <w:ind w:firstLine="280" w:firstLineChars="100"/>
              <w:rPr>
                <w:rFonts w:eastAsia="仿宋_GB2312"/>
                <w:color w:val="auto"/>
                <w:sz w:val="28"/>
                <w:szCs w:val="28"/>
                <w:highlight w:val="none"/>
              </w:rPr>
            </w:pPr>
            <w:r>
              <w:rPr>
                <w:rFonts w:hint="eastAsia" w:eastAsia="仿宋_GB2312"/>
                <w:color w:val="auto"/>
                <w:sz w:val="28"/>
                <w:szCs w:val="28"/>
                <w:highlight w:val="none"/>
              </w:rPr>
              <w:t>（3）</w:t>
            </w:r>
            <w:r>
              <w:rPr>
                <w:rFonts w:eastAsia="仿宋_GB2312"/>
                <w:color w:val="auto"/>
                <w:sz w:val="28"/>
                <w:szCs w:val="28"/>
                <w:highlight w:val="none"/>
              </w:rPr>
              <w:t>因环境污染造成直接经济损失500万元以上2000万元以下的；</w:t>
            </w:r>
          </w:p>
          <w:p>
            <w:pPr>
              <w:spacing w:line="460" w:lineRule="exact"/>
              <w:ind w:firstLine="280" w:firstLineChars="100"/>
              <w:rPr>
                <w:rFonts w:eastAsia="仿宋_GB2312"/>
                <w:color w:val="auto"/>
                <w:sz w:val="28"/>
                <w:szCs w:val="28"/>
                <w:highlight w:val="none"/>
              </w:rPr>
            </w:pPr>
            <w:r>
              <w:rPr>
                <w:rFonts w:hint="eastAsia" w:eastAsia="仿宋_GB2312"/>
                <w:color w:val="auto"/>
                <w:sz w:val="28"/>
                <w:szCs w:val="28"/>
                <w:highlight w:val="none"/>
              </w:rPr>
              <w:t>（4）</w:t>
            </w:r>
            <w:r>
              <w:rPr>
                <w:rFonts w:eastAsia="仿宋_GB2312"/>
                <w:color w:val="auto"/>
                <w:sz w:val="28"/>
                <w:szCs w:val="28"/>
                <w:highlight w:val="none"/>
              </w:rPr>
              <w:t>因环境污染造成国家重点保护的动植物物种受到破坏的；</w:t>
            </w:r>
          </w:p>
          <w:p>
            <w:pPr>
              <w:spacing w:line="460" w:lineRule="exact"/>
              <w:ind w:firstLine="280" w:firstLineChars="100"/>
              <w:rPr>
                <w:rFonts w:eastAsia="仿宋_GB2312"/>
                <w:color w:val="auto"/>
                <w:sz w:val="28"/>
                <w:szCs w:val="28"/>
                <w:highlight w:val="none"/>
              </w:rPr>
            </w:pPr>
            <w:r>
              <w:rPr>
                <w:rFonts w:hint="eastAsia" w:eastAsia="仿宋_GB2312"/>
                <w:color w:val="auto"/>
                <w:sz w:val="28"/>
                <w:szCs w:val="28"/>
                <w:highlight w:val="none"/>
              </w:rPr>
              <w:t>（5）</w:t>
            </w:r>
            <w:r>
              <w:rPr>
                <w:rFonts w:eastAsia="仿宋_GB2312"/>
                <w:color w:val="auto"/>
                <w:sz w:val="28"/>
                <w:szCs w:val="28"/>
                <w:highlight w:val="none"/>
              </w:rPr>
              <w:t>因环境污染造成乡镇集中式饮用水水源地取水中断的；</w:t>
            </w:r>
          </w:p>
          <w:p>
            <w:pPr>
              <w:spacing w:line="460" w:lineRule="exact"/>
              <w:ind w:firstLine="280" w:firstLineChars="100"/>
              <w:rPr>
                <w:rFonts w:eastAsia="仿宋_GB2312"/>
                <w:color w:val="auto"/>
                <w:sz w:val="28"/>
                <w:szCs w:val="28"/>
                <w:highlight w:val="none"/>
              </w:rPr>
            </w:pPr>
            <w:r>
              <w:rPr>
                <w:rFonts w:hint="eastAsia" w:eastAsia="仿宋_GB2312"/>
                <w:color w:val="auto"/>
                <w:sz w:val="28"/>
                <w:szCs w:val="28"/>
                <w:highlight w:val="none"/>
              </w:rPr>
              <w:t>（6）Ⅲ</w:t>
            </w:r>
            <w:r>
              <w:rPr>
                <w:rFonts w:eastAsia="仿宋_GB2312"/>
                <w:color w:val="auto"/>
                <w:sz w:val="28"/>
                <w:szCs w:val="28"/>
                <w:highlight w:val="none"/>
              </w:rPr>
              <w:t>类放射源丢失、被盗的；放射性同位素和射线装置失控导致10人以下急性重度放射病、局部器官残疾的；放射性物质泄漏，造成小范围辐射污染后果的；</w:t>
            </w:r>
          </w:p>
          <w:p>
            <w:pPr>
              <w:spacing w:line="460" w:lineRule="exact"/>
              <w:ind w:firstLine="280" w:firstLineChars="100"/>
              <w:rPr>
                <w:rFonts w:eastAsia="仿宋_GB2312"/>
                <w:color w:val="auto"/>
                <w:sz w:val="28"/>
                <w:szCs w:val="28"/>
                <w:highlight w:val="none"/>
              </w:rPr>
            </w:pPr>
            <w:r>
              <w:rPr>
                <w:rFonts w:hint="eastAsia" w:eastAsia="仿宋_GB2312"/>
                <w:color w:val="auto"/>
                <w:sz w:val="28"/>
                <w:szCs w:val="28"/>
                <w:highlight w:val="none"/>
              </w:rPr>
              <w:t>（7）</w:t>
            </w:r>
            <w:r>
              <w:rPr>
                <w:rFonts w:eastAsia="仿宋_GB2312"/>
                <w:color w:val="auto"/>
                <w:sz w:val="28"/>
                <w:szCs w:val="28"/>
                <w:highlight w:val="none"/>
              </w:rPr>
              <w:t>造成跨设区的市级行政区域影响的突发环境事件。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noWrap w:val="0"/>
            <w:vAlign w:val="center"/>
          </w:tcPr>
          <w:p>
            <w:pPr>
              <w:spacing w:line="4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Ⅳ级</w:t>
            </w:r>
          </w:p>
        </w:tc>
        <w:tc>
          <w:tcPr>
            <w:tcW w:w="1420" w:type="dxa"/>
            <w:noWrap w:val="0"/>
            <w:vAlign w:val="center"/>
          </w:tcPr>
          <w:p>
            <w:pPr>
              <w:spacing w:line="4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一般</w:t>
            </w:r>
          </w:p>
        </w:tc>
        <w:tc>
          <w:tcPr>
            <w:tcW w:w="1420" w:type="dxa"/>
            <w:noWrap w:val="0"/>
            <w:vAlign w:val="center"/>
          </w:tcPr>
          <w:p>
            <w:pPr>
              <w:spacing w:line="4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蓝色</w:t>
            </w:r>
          </w:p>
        </w:tc>
        <w:tc>
          <w:tcPr>
            <w:tcW w:w="10061" w:type="dxa"/>
            <w:noWrap w:val="0"/>
            <w:vAlign w:val="center"/>
          </w:tcPr>
          <w:p>
            <w:pPr>
              <w:spacing w:line="460" w:lineRule="exact"/>
              <w:ind w:firstLine="280" w:firstLineChars="100"/>
              <w:rPr>
                <w:rFonts w:eastAsia="仿宋_GB2312"/>
                <w:color w:val="auto"/>
                <w:sz w:val="28"/>
                <w:szCs w:val="28"/>
                <w:highlight w:val="none"/>
              </w:rPr>
            </w:pPr>
            <w:r>
              <w:rPr>
                <w:rFonts w:eastAsia="仿宋_GB2312"/>
                <w:color w:val="auto"/>
                <w:sz w:val="28"/>
                <w:szCs w:val="28"/>
                <w:highlight w:val="none"/>
              </w:rPr>
              <w:t>凡符合下列情形之一的，为一般突发环境事件：</w:t>
            </w:r>
          </w:p>
          <w:p>
            <w:pPr>
              <w:spacing w:line="460" w:lineRule="exact"/>
              <w:ind w:firstLine="280" w:firstLineChars="100"/>
              <w:rPr>
                <w:rFonts w:eastAsia="仿宋_GB2312"/>
                <w:color w:val="auto"/>
                <w:sz w:val="28"/>
                <w:szCs w:val="28"/>
                <w:highlight w:val="none"/>
              </w:rPr>
            </w:pPr>
            <w:r>
              <w:rPr>
                <w:rFonts w:hint="eastAsia" w:eastAsia="仿宋_GB2312"/>
                <w:color w:val="auto"/>
                <w:sz w:val="28"/>
                <w:szCs w:val="28"/>
                <w:highlight w:val="none"/>
              </w:rPr>
              <w:t>（1）</w:t>
            </w:r>
            <w:r>
              <w:rPr>
                <w:rFonts w:eastAsia="仿宋_GB2312"/>
                <w:color w:val="auto"/>
                <w:sz w:val="28"/>
                <w:szCs w:val="28"/>
                <w:highlight w:val="none"/>
              </w:rPr>
              <w:t>因环境污染直接导致3人以下死亡或10人以下中毒或重伤的；</w:t>
            </w:r>
          </w:p>
          <w:p>
            <w:pPr>
              <w:spacing w:line="460" w:lineRule="exact"/>
              <w:ind w:firstLine="280" w:firstLineChars="100"/>
              <w:rPr>
                <w:rFonts w:eastAsia="仿宋_GB2312"/>
                <w:color w:val="auto"/>
                <w:sz w:val="28"/>
                <w:szCs w:val="28"/>
                <w:highlight w:val="none"/>
              </w:rPr>
            </w:pPr>
            <w:r>
              <w:rPr>
                <w:rFonts w:hint="eastAsia" w:eastAsia="仿宋_GB2312"/>
                <w:color w:val="auto"/>
                <w:sz w:val="28"/>
                <w:szCs w:val="28"/>
                <w:highlight w:val="none"/>
              </w:rPr>
              <w:t>（2）</w:t>
            </w:r>
            <w:r>
              <w:rPr>
                <w:rFonts w:eastAsia="仿宋_GB2312"/>
                <w:color w:val="auto"/>
                <w:sz w:val="28"/>
                <w:szCs w:val="28"/>
                <w:highlight w:val="none"/>
              </w:rPr>
              <w:t>因环境污染疏散、转移人员5000人以下的；</w:t>
            </w:r>
          </w:p>
          <w:p>
            <w:pPr>
              <w:spacing w:line="460" w:lineRule="exact"/>
              <w:ind w:firstLine="280" w:firstLineChars="100"/>
              <w:rPr>
                <w:rFonts w:eastAsia="仿宋_GB2312"/>
                <w:color w:val="auto"/>
                <w:sz w:val="28"/>
                <w:szCs w:val="28"/>
                <w:highlight w:val="none"/>
              </w:rPr>
            </w:pPr>
            <w:r>
              <w:rPr>
                <w:rFonts w:hint="eastAsia" w:eastAsia="仿宋_GB2312"/>
                <w:color w:val="auto"/>
                <w:sz w:val="28"/>
                <w:szCs w:val="28"/>
                <w:highlight w:val="none"/>
              </w:rPr>
              <w:t>（3）</w:t>
            </w:r>
            <w:r>
              <w:rPr>
                <w:rFonts w:eastAsia="仿宋_GB2312"/>
                <w:color w:val="auto"/>
                <w:sz w:val="28"/>
                <w:szCs w:val="28"/>
                <w:highlight w:val="none"/>
              </w:rPr>
              <w:t>因环境污染造成直接经济损失500万元以下的；</w:t>
            </w:r>
          </w:p>
          <w:p>
            <w:pPr>
              <w:spacing w:line="460" w:lineRule="exact"/>
              <w:ind w:firstLine="280" w:firstLineChars="100"/>
              <w:rPr>
                <w:rFonts w:eastAsia="仿宋_GB2312"/>
                <w:color w:val="auto"/>
                <w:sz w:val="28"/>
                <w:szCs w:val="28"/>
                <w:highlight w:val="none"/>
              </w:rPr>
            </w:pPr>
            <w:r>
              <w:rPr>
                <w:rFonts w:hint="eastAsia" w:eastAsia="仿宋_GB2312"/>
                <w:color w:val="auto"/>
                <w:sz w:val="28"/>
                <w:szCs w:val="28"/>
                <w:highlight w:val="none"/>
              </w:rPr>
              <w:t>（4）</w:t>
            </w:r>
            <w:r>
              <w:rPr>
                <w:rFonts w:eastAsia="仿宋_GB2312"/>
                <w:color w:val="auto"/>
                <w:sz w:val="28"/>
                <w:szCs w:val="28"/>
                <w:highlight w:val="none"/>
              </w:rPr>
              <w:t>因环境污染造成跨县级行政区域纠纷，引起一般性群体影响的；</w:t>
            </w:r>
          </w:p>
          <w:p>
            <w:pPr>
              <w:spacing w:line="460" w:lineRule="exact"/>
              <w:ind w:firstLine="280" w:firstLineChars="100"/>
              <w:rPr>
                <w:rFonts w:eastAsia="仿宋_GB2312"/>
                <w:color w:val="auto"/>
                <w:sz w:val="28"/>
                <w:szCs w:val="28"/>
                <w:highlight w:val="none"/>
              </w:rPr>
            </w:pPr>
            <w:r>
              <w:rPr>
                <w:rFonts w:hint="eastAsia" w:eastAsia="仿宋_GB2312"/>
                <w:color w:val="auto"/>
                <w:sz w:val="28"/>
                <w:szCs w:val="28"/>
                <w:highlight w:val="none"/>
              </w:rPr>
              <w:t>（5）</w:t>
            </w:r>
            <w:r>
              <w:rPr>
                <w:rFonts w:eastAsia="仿宋_GB2312"/>
                <w:color w:val="auto"/>
                <w:sz w:val="28"/>
                <w:szCs w:val="28"/>
                <w:highlight w:val="none"/>
              </w:rPr>
              <w:t xml:space="preserve"> </w:t>
            </w:r>
            <w:r>
              <w:rPr>
                <w:rFonts w:hint="eastAsia" w:eastAsia="仿宋_GB2312"/>
                <w:color w:val="auto"/>
                <w:sz w:val="28"/>
                <w:szCs w:val="28"/>
                <w:highlight w:val="none"/>
              </w:rPr>
              <w:t>Ⅳ</w:t>
            </w:r>
            <w:r>
              <w:rPr>
                <w:rFonts w:eastAsia="仿宋_GB2312"/>
                <w:color w:val="auto"/>
                <w:sz w:val="28"/>
                <w:szCs w:val="28"/>
                <w:highlight w:val="none"/>
              </w:rPr>
              <w:t>、</w:t>
            </w:r>
            <w:r>
              <w:rPr>
                <w:rFonts w:hint="eastAsia" w:eastAsia="仿宋_GB2312"/>
                <w:color w:val="auto"/>
                <w:sz w:val="28"/>
                <w:szCs w:val="28"/>
                <w:highlight w:val="none"/>
              </w:rPr>
              <w:t>Ⅴ</w:t>
            </w:r>
            <w:r>
              <w:rPr>
                <w:rFonts w:eastAsia="仿宋_GB2312"/>
                <w:color w:val="auto"/>
                <w:sz w:val="28"/>
                <w:szCs w:val="28"/>
                <w:highlight w:val="none"/>
              </w:rPr>
              <w:t>类放射源丢失、被盗的；放射性同位素和射线装置失控导致人员受到超过年剂量限值的照射的；放射性物质泄漏，造成厂区内或设施内局部辐射污染后果的；铀矿冶、伴生矿超标排放，造成环境辐射污染后果的；</w:t>
            </w:r>
          </w:p>
          <w:p>
            <w:pPr>
              <w:spacing w:line="460" w:lineRule="exact"/>
              <w:ind w:firstLine="280" w:firstLineChars="100"/>
              <w:rPr>
                <w:rFonts w:eastAsia="仿宋_GB2312"/>
                <w:color w:val="auto"/>
                <w:sz w:val="28"/>
                <w:szCs w:val="28"/>
                <w:highlight w:val="none"/>
              </w:rPr>
            </w:pPr>
            <w:r>
              <w:rPr>
                <w:rFonts w:hint="eastAsia" w:eastAsia="仿宋_GB2312"/>
                <w:color w:val="auto"/>
                <w:sz w:val="28"/>
                <w:szCs w:val="28"/>
                <w:highlight w:val="none"/>
              </w:rPr>
              <w:t>（6）</w:t>
            </w:r>
            <w:r>
              <w:rPr>
                <w:rFonts w:eastAsia="仿宋_GB2312"/>
                <w:color w:val="auto"/>
                <w:sz w:val="28"/>
                <w:szCs w:val="28"/>
                <w:highlight w:val="none"/>
              </w:rPr>
              <w:t>对环境造成一定影响，尚未达到较大突发环境事件级别的。</w:t>
            </w:r>
          </w:p>
        </w:tc>
      </w:tr>
    </w:tbl>
    <w:p>
      <w:pPr>
        <w:widowControl/>
        <w:spacing w:before="100" w:beforeAutospacing="1" w:after="100" w:afterAutospacing="1" w:line="4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注：</w:t>
      </w:r>
      <w:r>
        <w:rPr>
          <w:rFonts w:ascii="仿宋_GB2312" w:eastAsia="仿宋_GB2312"/>
          <w:color w:val="auto"/>
          <w:sz w:val="28"/>
          <w:szCs w:val="28"/>
          <w:highlight w:val="none"/>
        </w:rPr>
        <w:t>上述分级标准有关数量的表述中，“以上”含本数，“以下”不含本数。</w:t>
      </w:r>
    </w:p>
    <w:p>
      <w:pPr>
        <w:widowControl/>
        <w:spacing w:before="100" w:beforeAutospacing="1" w:after="100" w:afterAutospacing="1" w:line="440" w:lineRule="exact"/>
        <w:ind w:firstLine="560" w:firstLineChars="200"/>
        <w:rPr>
          <w:rFonts w:ascii="仿宋_GB2312" w:eastAsia="仿宋_GB2312"/>
          <w:color w:val="auto"/>
          <w:sz w:val="28"/>
          <w:szCs w:val="28"/>
          <w:highlight w:val="none"/>
        </w:rPr>
      </w:pPr>
    </w:p>
    <w:p>
      <w:pPr>
        <w:widowControl/>
        <w:spacing w:before="100" w:beforeAutospacing="1" w:after="100" w:afterAutospacing="1" w:line="440" w:lineRule="exact"/>
        <w:ind w:firstLine="560" w:firstLineChars="200"/>
        <w:rPr>
          <w:rFonts w:ascii="仿宋_GB2312" w:eastAsia="仿宋_GB2312"/>
          <w:color w:val="auto"/>
          <w:sz w:val="28"/>
          <w:szCs w:val="28"/>
          <w:highlight w:val="none"/>
        </w:rPr>
      </w:pPr>
    </w:p>
    <w:p>
      <w:pPr>
        <w:widowControl/>
        <w:spacing w:before="100" w:beforeAutospacing="1" w:after="100" w:afterAutospacing="1" w:line="440" w:lineRule="exact"/>
        <w:ind w:firstLine="560" w:firstLineChars="200"/>
        <w:rPr>
          <w:rFonts w:ascii="仿宋_GB2312" w:eastAsia="仿宋_GB2312"/>
          <w:color w:val="auto"/>
          <w:sz w:val="28"/>
          <w:szCs w:val="28"/>
          <w:highlight w:val="none"/>
        </w:rPr>
      </w:pPr>
    </w:p>
    <w:p>
      <w:pPr>
        <w:widowControl/>
        <w:spacing w:before="100" w:beforeAutospacing="1" w:after="100" w:afterAutospacing="1" w:line="440" w:lineRule="exact"/>
        <w:ind w:firstLine="560" w:firstLineChars="200"/>
        <w:rPr>
          <w:rFonts w:ascii="仿宋_GB2312" w:eastAsia="仿宋_GB2312"/>
          <w:color w:val="auto"/>
          <w:sz w:val="28"/>
          <w:szCs w:val="28"/>
          <w:highlight w:val="none"/>
        </w:rPr>
      </w:pPr>
    </w:p>
    <w:p>
      <w:pPr>
        <w:widowControl/>
        <w:spacing w:before="100" w:beforeAutospacing="1" w:after="100" w:afterAutospacing="1" w:line="440" w:lineRule="exact"/>
        <w:ind w:firstLine="560" w:firstLineChars="200"/>
        <w:rPr>
          <w:rFonts w:ascii="仿宋_GB2312" w:eastAsia="仿宋_GB2312"/>
          <w:color w:val="auto"/>
          <w:sz w:val="28"/>
          <w:szCs w:val="28"/>
          <w:highlight w:val="none"/>
        </w:rPr>
        <w:sectPr>
          <w:pgSz w:w="16838" w:h="11906" w:orient="landscape"/>
          <w:pgMar w:top="1418" w:right="1418" w:bottom="1418" w:left="1418" w:header="851" w:footer="992" w:gutter="0"/>
          <w:pgNumType w:fmt="decimal"/>
          <w:cols w:space="720" w:num="1"/>
          <w:docGrid w:type="lines" w:linePitch="312" w:charSpace="0"/>
        </w:sectPr>
      </w:pPr>
    </w:p>
    <w:p>
      <w:pPr>
        <w:spacing w:line="560" w:lineRule="exact"/>
        <w:outlineLvl w:val="1"/>
        <w:rPr>
          <w:rFonts w:eastAsia="楷体_GB2312"/>
          <w:b/>
          <w:color w:val="auto"/>
          <w:sz w:val="32"/>
          <w:szCs w:val="32"/>
          <w:highlight w:val="none"/>
        </w:rPr>
      </w:pPr>
      <w:bookmarkStart w:id="121" w:name="_Toc19053"/>
      <w:bookmarkStart w:id="122" w:name="_Toc21998"/>
      <w:r>
        <w:rPr>
          <w:rFonts w:hint="eastAsia" w:eastAsia="楷体_GB2312"/>
          <w:b/>
          <w:color w:val="auto"/>
          <w:sz w:val="32"/>
          <w:szCs w:val="32"/>
          <w:highlight w:val="none"/>
        </w:rPr>
        <w:t>附件2 现场应急组织机构</w:t>
      </w:r>
      <w:bookmarkEnd w:id="121"/>
      <w:bookmarkEnd w:id="122"/>
    </w:p>
    <w:p>
      <w:pPr>
        <w:widowControl/>
        <w:spacing w:before="100" w:beforeAutospacing="1" w:after="100" w:afterAutospacing="1" w:line="440" w:lineRule="exact"/>
        <w:ind w:firstLine="560" w:firstLineChars="200"/>
        <w:rPr>
          <w:rFonts w:ascii="仿宋_GB2312" w:eastAsia="仿宋_GB2312"/>
          <w:color w:val="auto"/>
          <w:sz w:val="28"/>
          <w:szCs w:val="28"/>
          <w:highlight w:val="none"/>
        </w:rPr>
      </w:pPr>
      <w:r>
        <w:rPr>
          <w:sz w:val="28"/>
        </w:rPr>
        <mc:AlternateContent>
          <mc:Choice Requires="wpg">
            <w:drawing>
              <wp:anchor distT="0" distB="0" distL="114300" distR="114300" simplePos="0" relativeHeight="251662336" behindDoc="0" locked="0" layoutInCell="1" allowOverlap="1">
                <wp:simplePos x="0" y="0"/>
                <wp:positionH relativeFrom="column">
                  <wp:posOffset>174625</wp:posOffset>
                </wp:positionH>
                <wp:positionV relativeFrom="paragraph">
                  <wp:posOffset>544195</wp:posOffset>
                </wp:positionV>
                <wp:extent cx="13535660" cy="2754630"/>
                <wp:effectExtent l="6350" t="4445" r="21590" b="22225"/>
                <wp:wrapNone/>
                <wp:docPr id="173" name="组合 173"/>
                <wp:cNvGraphicFramePr/>
                <a:graphic xmlns:a="http://schemas.openxmlformats.org/drawingml/2006/main">
                  <a:graphicData uri="http://schemas.microsoft.com/office/word/2010/wordprocessingGroup">
                    <wpg:wgp>
                      <wpg:cNvGrpSpPr/>
                      <wpg:grpSpPr>
                        <a:xfrm>
                          <a:off x="0" y="0"/>
                          <a:ext cx="13535660" cy="2754630"/>
                          <a:chOff x="1796" y="570436"/>
                          <a:chExt cx="21316" cy="4338"/>
                        </a:xfrm>
                      </wpg:grpSpPr>
                      <wps:wsp>
                        <wps:cNvPr id="51" name="圆角矩形 51"/>
                        <wps:cNvSpPr/>
                        <wps:spPr>
                          <a:xfrm>
                            <a:off x="10840" y="570436"/>
                            <a:ext cx="4126" cy="827"/>
                          </a:xfrm>
                          <a:prstGeom prst="roundRect">
                            <a:avLst>
                              <a:gd name="adj" fmla="val 16667"/>
                            </a:avLst>
                          </a:prstGeom>
                          <a:noFill/>
                          <a:ln w="9525" cap="flat" cmpd="sng">
                            <a:solidFill>
                              <a:srgbClr val="000000"/>
                            </a:solidFill>
                            <a:prstDash val="solid"/>
                            <a:headEnd type="none" w="med" len="med"/>
                            <a:tailEnd type="none" w="med" len="med"/>
                          </a:ln>
                        </wps:spPr>
                        <wps:txbx>
                          <w:txbxContent>
                            <w:p>
                              <w:pPr>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rPr>
                                <w:t>突发环境事件现场应急指挥部</w:t>
                              </w:r>
                            </w:p>
                          </w:txbxContent>
                        </wps:txbx>
                        <wps:bodyPr upright="1"/>
                      </wps:wsp>
                      <wps:wsp>
                        <wps:cNvPr id="55" name="直接箭头连接符 55"/>
                        <wps:cNvCnPr/>
                        <wps:spPr>
                          <a:xfrm>
                            <a:off x="12911" y="571263"/>
                            <a:ext cx="0" cy="841"/>
                          </a:xfrm>
                          <a:prstGeom prst="straightConnector1">
                            <a:avLst/>
                          </a:prstGeom>
                          <a:ln w="15875" cap="flat" cmpd="sng">
                            <a:solidFill>
                              <a:srgbClr val="000000"/>
                            </a:solidFill>
                            <a:prstDash val="solid"/>
                            <a:headEnd type="none" w="med" len="med"/>
                            <a:tailEnd type="triangle" w="med" len="med"/>
                          </a:ln>
                        </wps:spPr>
                        <wps:bodyPr/>
                      </wps:wsp>
                      <wpg:grpSp>
                        <wpg:cNvPr id="172" name="组合 172"/>
                        <wpg:cNvGrpSpPr/>
                        <wpg:grpSpPr>
                          <a:xfrm>
                            <a:off x="1796" y="571790"/>
                            <a:ext cx="21316" cy="2984"/>
                            <a:chOff x="1796" y="571790"/>
                            <a:chExt cx="21316" cy="2984"/>
                          </a:xfrm>
                        </wpg:grpSpPr>
                        <wps:wsp>
                          <wps:cNvPr id="59" name="矩形 59"/>
                          <wps:cNvSpPr/>
                          <wps:spPr>
                            <a:xfrm>
                              <a:off x="1796" y="571790"/>
                              <a:ext cx="21316" cy="2984"/>
                            </a:xfrm>
                            <a:prstGeom prst="rect">
                              <a:avLst/>
                            </a:prstGeom>
                            <a:noFill/>
                            <a:ln w="12700" cap="flat" cmpd="sng">
                              <a:solidFill>
                                <a:srgbClr val="000000"/>
                              </a:solidFill>
                              <a:prstDash val="lgDash"/>
                              <a:miter/>
                              <a:headEnd type="none" w="med" len="med"/>
                              <a:tailEnd type="none" w="med" len="med"/>
                            </a:ln>
                          </wps:spPr>
                          <wps:bodyPr upright="1"/>
                        </wps:wsp>
                        <wps:wsp>
                          <wps:cNvPr id="71" name="直接箭头连接符 71"/>
                          <wps:cNvCnPr/>
                          <wps:spPr>
                            <a:xfrm>
                              <a:off x="22040" y="572107"/>
                              <a:ext cx="0" cy="566"/>
                            </a:xfrm>
                            <a:prstGeom prst="straightConnector1">
                              <a:avLst/>
                            </a:prstGeom>
                            <a:ln w="15875" cap="flat" cmpd="sng">
                              <a:solidFill>
                                <a:srgbClr val="000000"/>
                              </a:solidFill>
                              <a:prstDash val="solid"/>
                              <a:headEnd type="none" w="med" len="med"/>
                              <a:tailEnd type="triangle" w="med" len="med"/>
                            </a:ln>
                          </wps:spPr>
                          <wps:bodyPr/>
                        </wps:wsp>
                        <wps:wsp>
                          <wps:cNvPr id="74" name="直接箭头连接符 74"/>
                          <wps:cNvCnPr/>
                          <wps:spPr>
                            <a:xfrm>
                              <a:off x="18082" y="572107"/>
                              <a:ext cx="0" cy="566"/>
                            </a:xfrm>
                            <a:prstGeom prst="straightConnector1">
                              <a:avLst/>
                            </a:prstGeom>
                            <a:ln w="15875" cap="flat" cmpd="sng">
                              <a:solidFill>
                                <a:srgbClr val="000000"/>
                              </a:solidFill>
                              <a:prstDash val="solid"/>
                              <a:headEnd type="none" w="med" len="med"/>
                              <a:tailEnd type="triangle" w="med" len="med"/>
                            </a:ln>
                          </wps:spPr>
                          <wps:bodyPr/>
                        </wps:wsp>
                        <wps:wsp>
                          <wps:cNvPr id="54" name="直接箭头连接符 54"/>
                          <wps:cNvCnPr/>
                          <wps:spPr>
                            <a:xfrm>
                              <a:off x="20008" y="572107"/>
                              <a:ext cx="0" cy="566"/>
                            </a:xfrm>
                            <a:prstGeom prst="straightConnector1">
                              <a:avLst/>
                            </a:prstGeom>
                            <a:ln w="9525" cap="flat" cmpd="sng">
                              <a:solidFill>
                                <a:srgbClr val="000000"/>
                              </a:solidFill>
                              <a:prstDash val="solid"/>
                              <a:headEnd type="none" w="med" len="med"/>
                              <a:tailEnd type="triangle" w="med" len="med"/>
                            </a:ln>
                          </wps:spPr>
                          <wps:bodyPr/>
                        </wps:wsp>
                        <wps:wsp>
                          <wps:cNvPr id="57" name="直接箭头连接符 57"/>
                          <wps:cNvCnPr/>
                          <wps:spPr>
                            <a:xfrm>
                              <a:off x="15916" y="572107"/>
                              <a:ext cx="0" cy="566"/>
                            </a:xfrm>
                            <a:prstGeom prst="straightConnector1">
                              <a:avLst/>
                            </a:prstGeom>
                            <a:ln w="9525" cap="flat" cmpd="sng">
                              <a:solidFill>
                                <a:srgbClr val="000000"/>
                              </a:solidFill>
                              <a:prstDash val="solid"/>
                              <a:headEnd type="none" w="med" len="med"/>
                              <a:tailEnd type="triangle" w="med" len="med"/>
                            </a:ln>
                          </wps:spPr>
                          <wps:bodyPr/>
                        </wps:wsp>
                        <wps:wsp>
                          <wps:cNvPr id="76" name="直接箭头连接符 76"/>
                          <wps:cNvCnPr/>
                          <wps:spPr>
                            <a:xfrm>
                              <a:off x="13660" y="572107"/>
                              <a:ext cx="0" cy="566"/>
                            </a:xfrm>
                            <a:prstGeom prst="straightConnector1">
                              <a:avLst/>
                            </a:prstGeom>
                            <a:ln w="15875" cap="flat" cmpd="sng">
                              <a:solidFill>
                                <a:srgbClr val="000000"/>
                              </a:solidFill>
                              <a:prstDash val="solid"/>
                              <a:headEnd type="none" w="med" len="med"/>
                              <a:tailEnd type="triangle" w="med" len="med"/>
                            </a:ln>
                          </wps:spPr>
                          <wps:bodyPr/>
                        </wps:wsp>
                        <wps:wsp>
                          <wps:cNvPr id="64" name="直接箭头连接符 64"/>
                          <wps:cNvCnPr/>
                          <wps:spPr>
                            <a:xfrm>
                              <a:off x="11584" y="572107"/>
                              <a:ext cx="0" cy="566"/>
                            </a:xfrm>
                            <a:prstGeom prst="straightConnector1">
                              <a:avLst/>
                            </a:prstGeom>
                            <a:ln w="9525" cap="flat" cmpd="sng">
                              <a:solidFill>
                                <a:srgbClr val="000000"/>
                              </a:solidFill>
                              <a:prstDash val="solid"/>
                              <a:headEnd type="none" w="med" len="med"/>
                              <a:tailEnd type="triangle" w="med" len="med"/>
                            </a:ln>
                          </wps:spPr>
                          <wps:bodyPr/>
                        </wps:wsp>
                        <wps:wsp>
                          <wps:cNvPr id="62" name="直接箭头连接符 62"/>
                          <wps:cNvCnPr/>
                          <wps:spPr>
                            <a:xfrm>
                              <a:off x="9484" y="572107"/>
                              <a:ext cx="0" cy="566"/>
                            </a:xfrm>
                            <a:prstGeom prst="straightConnector1">
                              <a:avLst/>
                            </a:prstGeom>
                            <a:ln w="9525" cap="flat" cmpd="sng">
                              <a:solidFill>
                                <a:srgbClr val="000000"/>
                              </a:solidFill>
                              <a:prstDash val="solid"/>
                              <a:headEnd type="none" w="med" len="med"/>
                              <a:tailEnd type="triangle" w="med" len="med"/>
                            </a:ln>
                          </wps:spPr>
                          <wps:bodyPr/>
                        </wps:wsp>
                        <wps:wsp>
                          <wps:cNvPr id="56" name="直接箭头连接符 56"/>
                          <wps:cNvCnPr/>
                          <wps:spPr>
                            <a:xfrm>
                              <a:off x="7375" y="572107"/>
                              <a:ext cx="0" cy="566"/>
                            </a:xfrm>
                            <a:prstGeom prst="straightConnector1">
                              <a:avLst/>
                            </a:prstGeom>
                            <a:ln w="15875" cap="flat" cmpd="sng">
                              <a:solidFill>
                                <a:srgbClr val="000000"/>
                              </a:solidFill>
                              <a:prstDash val="solid"/>
                              <a:headEnd type="none" w="med" len="med"/>
                              <a:tailEnd type="triangle" w="med" len="med"/>
                            </a:ln>
                          </wps:spPr>
                          <wps:bodyPr/>
                        </wps:wsp>
                        <wps:wsp>
                          <wps:cNvPr id="75" name="直接箭头连接符 75"/>
                          <wps:cNvCnPr/>
                          <wps:spPr>
                            <a:xfrm>
                              <a:off x="5110" y="572107"/>
                              <a:ext cx="0" cy="566"/>
                            </a:xfrm>
                            <a:prstGeom prst="straightConnector1">
                              <a:avLst/>
                            </a:prstGeom>
                            <a:ln w="15875" cap="flat" cmpd="sng">
                              <a:solidFill>
                                <a:srgbClr val="000000"/>
                              </a:solidFill>
                              <a:prstDash val="solid"/>
                              <a:headEnd type="none" w="med" len="med"/>
                              <a:tailEnd type="triangle" w="med" len="med"/>
                            </a:ln>
                          </wps:spPr>
                          <wps:bodyPr/>
                        </wps:wsp>
                        <wps:wsp>
                          <wps:cNvPr id="68" name="直接箭头连接符 68"/>
                          <wps:cNvCnPr/>
                          <wps:spPr>
                            <a:xfrm>
                              <a:off x="2869" y="572089"/>
                              <a:ext cx="0" cy="566"/>
                            </a:xfrm>
                            <a:prstGeom prst="straightConnector1">
                              <a:avLst/>
                            </a:prstGeom>
                            <a:ln w="9525" cap="flat" cmpd="sng">
                              <a:solidFill>
                                <a:srgbClr val="000000"/>
                              </a:solidFill>
                              <a:prstDash val="solid"/>
                              <a:headEnd type="none" w="med" len="med"/>
                              <a:tailEnd type="triangle" w="med" len="med"/>
                            </a:ln>
                          </wps:spPr>
                          <wps:bodyPr/>
                        </wps:wsp>
                        <wps:wsp>
                          <wps:cNvPr id="77" name="圆角矩形 77"/>
                          <wps:cNvSpPr/>
                          <wps:spPr>
                            <a:xfrm>
                              <a:off x="21653" y="572659"/>
                              <a:ext cx="780" cy="1752"/>
                            </a:xfrm>
                            <a:prstGeom prst="roundRect">
                              <a:avLst>
                                <a:gd name="adj" fmla="val 16667"/>
                              </a:avLst>
                            </a:prstGeom>
                            <a:noFill/>
                            <a:ln w="9525" cap="flat" cmpd="sng">
                              <a:solidFill>
                                <a:srgbClr val="000000"/>
                              </a:solidFill>
                              <a:prstDash val="solid"/>
                              <a:headEnd type="none" w="med" len="med"/>
                              <a:tailEnd type="none" w="med" len="med"/>
                            </a:ln>
                          </wps:spPr>
                          <wps:txbx>
                            <w:txbxContent>
                              <w:p>
                                <w:pPr>
                                  <w:jc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新闻发布组</w:t>
                                </w:r>
                              </w:p>
                            </w:txbxContent>
                          </wps:txbx>
                          <wps:bodyPr upright="1"/>
                        </wps:wsp>
                        <wps:wsp>
                          <wps:cNvPr id="58" name="圆角矩形 58"/>
                          <wps:cNvSpPr/>
                          <wps:spPr>
                            <a:xfrm>
                              <a:off x="19607" y="572659"/>
                              <a:ext cx="780" cy="1751"/>
                            </a:xfrm>
                            <a:prstGeom prst="roundRect">
                              <a:avLst>
                                <a:gd name="adj" fmla="val 16667"/>
                              </a:avLst>
                            </a:prstGeom>
                            <a:noFill/>
                            <a:ln w="9525" cap="flat" cmpd="sng">
                              <a:solidFill>
                                <a:srgbClr val="000000"/>
                              </a:solidFill>
                              <a:prstDash val="solid"/>
                              <a:headEnd type="none" w="med" len="med"/>
                              <a:tailEnd type="none" w="med" len="med"/>
                            </a:ln>
                          </wps:spPr>
                          <wps:txbx>
                            <w:txbxContent>
                              <w:p>
                                <w:pPr>
                                  <w:jc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善后处置组</w:t>
                                </w:r>
                              </w:p>
                            </w:txbxContent>
                          </wps:txbx>
                          <wps:bodyPr upright="1"/>
                        </wps:wsp>
                        <wps:wsp>
                          <wps:cNvPr id="78" name="圆角矩形 78"/>
                          <wps:cNvSpPr/>
                          <wps:spPr>
                            <a:xfrm>
                              <a:off x="17684" y="572659"/>
                              <a:ext cx="780" cy="1752"/>
                            </a:xfrm>
                            <a:prstGeom prst="roundRect">
                              <a:avLst>
                                <a:gd name="adj" fmla="val 16667"/>
                              </a:avLst>
                            </a:prstGeom>
                            <a:noFill/>
                            <a:ln w="9525" cap="flat" cmpd="sng">
                              <a:solidFill>
                                <a:srgbClr val="000000"/>
                              </a:solidFill>
                              <a:prstDash val="solid"/>
                              <a:headEnd type="none" w="med" len="med"/>
                              <a:tailEnd type="none" w="med" len="med"/>
                            </a:ln>
                          </wps:spPr>
                          <wps:txbx>
                            <w:txbxContent>
                              <w:p>
                                <w:pPr>
                                  <w:jc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事故调查组</w:t>
                                </w:r>
                              </w:p>
                            </w:txbxContent>
                          </wps:txbx>
                          <wps:bodyPr upright="1"/>
                        </wps:wsp>
                        <wps:wsp>
                          <wps:cNvPr id="52" name="圆角矩形 52"/>
                          <wps:cNvSpPr/>
                          <wps:spPr>
                            <a:xfrm>
                              <a:off x="15521" y="572659"/>
                              <a:ext cx="780" cy="1752"/>
                            </a:xfrm>
                            <a:prstGeom prst="roundRect">
                              <a:avLst>
                                <a:gd name="adj" fmla="val 16667"/>
                              </a:avLst>
                            </a:prstGeom>
                            <a:noFill/>
                            <a:ln w="9525" cap="flat" cmpd="sng">
                              <a:solidFill>
                                <a:srgbClr val="000000"/>
                              </a:solidFill>
                              <a:prstDash val="solid"/>
                              <a:headEnd type="none" w="med" len="med"/>
                              <a:tailEnd type="none" w="med" len="med"/>
                            </a:ln>
                          </wps:spPr>
                          <wps:txbx>
                            <w:txbxContent>
                              <w:p>
                                <w:pPr>
                                  <w:jc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后勤保障组</w:t>
                                </w:r>
                              </w:p>
                            </w:txbxContent>
                          </wps:txbx>
                          <wps:bodyPr upright="1"/>
                        </wps:wsp>
                        <wps:wsp>
                          <wps:cNvPr id="60" name="圆角矩形 60"/>
                          <wps:cNvSpPr/>
                          <wps:spPr>
                            <a:xfrm>
                              <a:off x="13268" y="572659"/>
                              <a:ext cx="780" cy="1769"/>
                            </a:xfrm>
                            <a:prstGeom prst="roundRect">
                              <a:avLst>
                                <a:gd name="adj" fmla="val 16667"/>
                              </a:avLst>
                            </a:prstGeom>
                            <a:noFill/>
                            <a:ln w="9525" cap="flat" cmpd="sng">
                              <a:solidFill>
                                <a:srgbClr val="000000"/>
                              </a:solidFill>
                              <a:prstDash val="solid"/>
                              <a:headEnd type="none" w="med" len="med"/>
                              <a:tailEnd type="none" w="med" len="med"/>
                            </a:ln>
                          </wps:spPr>
                          <wps:txbx>
                            <w:txbxContent>
                              <w:p>
                                <w:pPr>
                                  <w:jc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社会维稳组</w:t>
                                </w:r>
                              </w:p>
                            </w:txbxContent>
                          </wps:txbx>
                          <wps:bodyPr upright="1"/>
                        </wps:wsp>
                        <wps:wsp>
                          <wps:cNvPr id="53" name="圆角矩形 53"/>
                          <wps:cNvSpPr/>
                          <wps:spPr>
                            <a:xfrm>
                              <a:off x="11196" y="572659"/>
                              <a:ext cx="780" cy="1752"/>
                            </a:xfrm>
                            <a:prstGeom prst="roundRect">
                              <a:avLst>
                                <a:gd name="adj" fmla="val 16667"/>
                              </a:avLst>
                            </a:prstGeom>
                            <a:noFill/>
                            <a:ln w="9525" cap="flat" cmpd="sng">
                              <a:solidFill>
                                <a:srgbClr val="000000"/>
                              </a:solidFill>
                              <a:prstDash val="solid"/>
                              <a:headEnd type="none" w="med" len="med"/>
                              <a:tailEnd type="none" w="med" len="med"/>
                            </a:ln>
                          </wps:spPr>
                          <wps:txbx>
                            <w:txbxContent>
                              <w:p>
                                <w:pPr>
                                  <w:jc w:val="center"/>
                                  <w:rPr>
                                    <w:rFonts w:hint="eastAsia" w:eastAsia="宋体"/>
                                    <w:lang w:eastAsia="zh-CN"/>
                                  </w:rPr>
                                </w:pPr>
                                <w:r>
                                  <w:rPr>
                                    <w:rFonts w:hint="eastAsia" w:ascii="仿宋_GB2312" w:hAnsi="仿宋_GB2312" w:eastAsia="仿宋_GB2312" w:cs="仿宋_GB2312"/>
                                    <w:b w:val="0"/>
                                    <w:bCs/>
                                    <w:color w:val="auto"/>
                                    <w:sz w:val="24"/>
                                    <w:szCs w:val="24"/>
                                    <w:highlight w:val="none"/>
                                    <w:lang w:eastAsia="zh-CN"/>
                                  </w:rPr>
                                  <w:t>医学救援组</w:t>
                                </w:r>
                              </w:p>
                            </w:txbxContent>
                          </wps:txbx>
                          <wps:bodyPr upright="1"/>
                        </wps:wsp>
                        <wps:wsp>
                          <wps:cNvPr id="72" name="圆角矩形 72"/>
                          <wps:cNvSpPr/>
                          <wps:spPr>
                            <a:xfrm>
                              <a:off x="9099" y="572659"/>
                              <a:ext cx="780" cy="1751"/>
                            </a:xfrm>
                            <a:prstGeom prst="roundRect">
                              <a:avLst>
                                <a:gd name="adj" fmla="val 16667"/>
                              </a:avLst>
                            </a:prstGeom>
                            <a:noFill/>
                            <a:ln w="9525" cap="flat" cmpd="sng">
                              <a:solidFill>
                                <a:srgbClr val="000000"/>
                              </a:solidFill>
                              <a:prstDash val="solid"/>
                              <a:headEnd type="none" w="med" len="med"/>
                              <a:tailEnd type="none" w="med" len="med"/>
                            </a:ln>
                          </wps:spPr>
                          <wps:txbx>
                            <w:txbxContent>
                              <w:p>
                                <w:pPr>
                                  <w:jc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监测预警组</w:t>
                                </w:r>
                              </w:p>
                            </w:txbxContent>
                          </wps:txbx>
                          <wps:bodyPr upright="1"/>
                        </wps:wsp>
                        <wps:wsp>
                          <wps:cNvPr id="61" name="圆角矩形 61"/>
                          <wps:cNvSpPr/>
                          <wps:spPr>
                            <a:xfrm>
                              <a:off x="6993" y="572677"/>
                              <a:ext cx="780" cy="1752"/>
                            </a:xfrm>
                            <a:prstGeom prst="roundRect">
                              <a:avLst>
                                <a:gd name="adj" fmla="val 16667"/>
                              </a:avLst>
                            </a:prstGeom>
                            <a:noFill/>
                            <a:ln w="9525" cap="flat" cmpd="sng">
                              <a:solidFill>
                                <a:srgbClr val="000000"/>
                              </a:solidFill>
                              <a:prstDash val="solid"/>
                              <a:headEnd type="none" w="med" len="med"/>
                              <a:tailEnd type="none" w="med" len="med"/>
                            </a:ln>
                          </wps:spPr>
                          <wps:txbx>
                            <w:txbxContent>
                              <w:p>
                                <w:pPr>
                                  <w:jc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专家技术组</w:t>
                                </w:r>
                              </w:p>
                            </w:txbxContent>
                          </wps:txbx>
                          <wps:bodyPr upright="1"/>
                        </wps:wsp>
                        <wps:wsp>
                          <wps:cNvPr id="63" name="圆角矩形 63"/>
                          <wps:cNvSpPr/>
                          <wps:spPr>
                            <a:xfrm>
                              <a:off x="4713" y="572659"/>
                              <a:ext cx="780" cy="1750"/>
                            </a:xfrm>
                            <a:prstGeom prst="roundRect">
                              <a:avLst>
                                <a:gd name="adj" fmla="val 16667"/>
                              </a:avLst>
                            </a:prstGeom>
                            <a:noFill/>
                            <a:ln w="9525" cap="flat" cmpd="sng">
                              <a:solidFill>
                                <a:srgbClr val="000000"/>
                              </a:solidFill>
                              <a:prstDash val="solid"/>
                              <a:headEnd type="none" w="med" len="med"/>
                              <a:tailEnd type="none" w="med" len="med"/>
                            </a:ln>
                          </wps:spPr>
                          <wps:txbx>
                            <w:txbxContent>
                              <w:p>
                                <w:pPr>
                                  <w:jc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应急处置组</w:t>
                                </w:r>
                              </w:p>
                            </w:txbxContent>
                          </wps:txbx>
                          <wps:bodyPr upright="1"/>
                        </wps:wsp>
                        <wps:wsp>
                          <wps:cNvPr id="65" name="圆角矩形 65"/>
                          <wps:cNvSpPr/>
                          <wps:spPr>
                            <a:xfrm>
                              <a:off x="2458" y="572641"/>
                              <a:ext cx="780" cy="1754"/>
                            </a:xfrm>
                            <a:prstGeom prst="roundRect">
                              <a:avLst>
                                <a:gd name="adj" fmla="val 16667"/>
                              </a:avLst>
                            </a:prstGeom>
                            <a:noFill/>
                            <a:ln w="9525" cap="flat" cmpd="sng">
                              <a:solidFill>
                                <a:srgbClr val="000000"/>
                              </a:solidFill>
                              <a:prstDash val="solid"/>
                              <a:headEnd type="none" w="med" len="med"/>
                              <a:tailEnd type="none" w="med" len="med"/>
                            </a:ln>
                          </wps:spPr>
                          <wps:txbx>
                            <w:txbxContent>
                              <w:p>
                                <w:pPr>
                                  <w:jc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综合协调组</w:t>
                                </w:r>
                              </w:p>
                            </w:txbxContent>
                          </wps:txbx>
                          <wps:bodyPr upright="1"/>
                        </wps:wsp>
                        <wps:wsp>
                          <wps:cNvPr id="66" name="直接箭头连接符 66"/>
                          <wps:cNvCnPr/>
                          <wps:spPr>
                            <a:xfrm>
                              <a:off x="2850" y="572112"/>
                              <a:ext cx="19181" cy="0"/>
                            </a:xfrm>
                            <a:prstGeom prst="straightConnector1">
                              <a:avLst/>
                            </a:prstGeom>
                            <a:ln w="19050" cap="flat" cmpd="sng">
                              <a:solidFill>
                                <a:srgbClr val="000000"/>
                              </a:solidFill>
                              <a:prstDash val="solid"/>
                              <a:headEnd type="none" w="med" len="med"/>
                              <a:tailEnd type="none" w="med" len="med"/>
                            </a:ln>
                          </wps:spPr>
                          <wps:bodyPr/>
                        </wps:wsp>
                      </wpg:grpSp>
                    </wpg:wgp>
                  </a:graphicData>
                </a:graphic>
              </wp:anchor>
            </w:drawing>
          </mc:Choice>
          <mc:Fallback>
            <w:pict>
              <v:group id="_x0000_s1026" o:spid="_x0000_s1026" o:spt="203" style="position:absolute;left:0pt;margin-left:13.75pt;margin-top:42.85pt;height:216.9pt;width:1065.8pt;z-index:251662336;mso-width-relative:page;mso-height-relative:page;" coordorigin="1796,570436" coordsize="21316,4338" o:gfxdata="UEsDBAoAAAAAAIdO4kAAAAAAAAAAAAAAAAAEAAAAZHJzL1BLAwQUAAAACACHTuJAv2TsQ9oAAAAK&#10;AQAADwAAAGRycy9kb3ducmV2LnhtbE2PQUvDQBSE74L/YXmCN7vZyNo25qVIUU9FsBXE2zZ5TUKz&#10;b0N2m7T/3vVkj8MMM9/kq7PtxEiDbx0jqFkCgrh0Vcs1wtfu7WEBwgfDlekcE8KFPKyK25vcZJWb&#10;+JPGbahFLGGfGYQmhD6T0pcNWeNnrieO3sEN1oQoh1pWg5liue1kmiRP0pqW40Jjelo3VB63J4vw&#10;Ppnp5VG9jpvjYX352emP740ixPs7lTyDCHQO/2H4w4/oUESmvTtx5UWHkM51TCIs9BxE9FOllwrE&#10;HkGrpQZZ5PL6QvELUEsDBBQAAAAIAIdO4kCYHlZi6gUAADk5AAAOAAAAZHJzL2Uyb0RvYy54bWzt&#10;W0tv5EQQviPxHyzfybj9tpXJHpLdXBCs2OUHdPxGfqnbyUzuCHFCaK8gkNACQgJOe0OIXxOyP4Pq&#10;9mtm4szYSzKzk3gPWU+/3FX99VfV1eXDJ/MkFi48QqMsnYroQBIFL3UyN0qDqfj5y2cfmaJAC5y6&#10;OM5SbypeelR8cvThB4ez3PbkLMxi1yMCDJJSe5ZPxbAocnsyoU7oJZgeZLmXQqWfkQQX8JMEE5fg&#10;GYyexBNZkvTJLCNuTjLHoxRKT8pKsRqR9Bkw8/3I8U4y5zzx0qIclXgxLkAkGkY5FY/4bH3fc4pP&#10;fZ96hRBPRZC04H/hJfB8xv5Ojg6xHRCch5FTTQH3mcKKTAmOUnhpM9QJLrBwTqIbQyWRQzKa+cWB&#10;kyWTUhCuEZACSSu6OSXZec5lCexZkDdKh4Va0fo7D+t8cvGcCJELSDAUUUhxAkt+/deXV99+LbAS&#10;0M8sD2xodkryF/lzUhUE5S8m8twnCfsfhBHmXLOXjWa9eSE4UIgUTdF0HbTuQKVsaKquVMp3Qlgh&#10;1hEZli4KUK0Zkqro5dI44dNqCBkpCOpZf1VRTFY9qV8+YXNspjTLAZm0VRf9f+p6EeLc46tAmR4q&#10;dWmo1tbV91+9/fXV9Y+/Xf39kwDFXEO8aaMvalNQXYeykGSqoJQVoWutqUiuJDZlY0lgbOeEFqde&#10;lgjsYSoCUlL3M4A7RyG++JgWHI5utaTY/UIU/CQGcF/gWEC6rtcjVo1BmfWYrGeaPYviGGTBdpwK&#10;s6loabIG6sew5X3YavCY5AAbmgb8lTSLI5d1YT0oCc6OYyLAqwAK/F81/aVm7H0nmIZlO17FmmE7&#10;9LD7NHWF4jIHOKbAQyKbQuK5ohB7QFvsibcscBT3aQnSxSkghmGjXAv2VMzP5tVynWXuJSzteU6i&#10;IASF8nXkzQFKbBNsA1Og4GoHfvfm329+vv7zj6vXb97+8wN7/v0XQdOY0GwqgMPjtNqMtUD1Zmh2&#10;IpItBCjl4AIk8c2M7Rpc1V401VLStneNggpZtCCYqeQ4S1PAV0ZQCzGYzQpsSqwgzTTee7AUJMJp&#10;EN8CrW7AlChhYleAKOmRU89907PcgKOmZ7mEwyB6XmBZeKw4uMbEAsfKlqmWW6yLoNuunQRddwYl&#10;ltZhFwRtNfqqqNla2D09qLk1R620axTVyNryaM3NS7R8c8/coFokGxLbnvfHtXHAeLdc3yQqPAKz&#10;2h7tvg9cazT2+7qTa6EedNKba2VZagy5jCRuW29wLXhAbNDbkTJy7YJx7uTaLVhhQ22IoxsZnBd7&#10;IwOZkgnUza3wiAxgmWWX7c6s8BaQoW1ABtQP4gxwjOGwvQNk7IMvv1fAMNZThsbtQX/K0Cx21B2B&#10;0XnI2ydgGLCM6050UD+EMZDCYyg7AMbjOtFtwZboG2wJ1A9CBiwQjLgDZIy2ZCH6PSgO2x1Y1Ntz&#10;fqf7CfVDgGGpIy5ujRfukynRNpgSqB+CC0NhEbod8MVoSRavy+6AMNg6rvUxhkWNNYTqG4nxuLrX&#10;x1UdDpfrgAH1QxhDNnUIqZaMIZk8mLqdCNfoYdyth2E0p9Wlq0sobuGwOT4uI12DG+MSD7q2ggfD&#10;rO6XkKFxh+X2oOd4dbn+khM0twdXlw3XLGFKW6SYzZhClg6h8z6Y2nBpOWLqAWDK6MYUFA/hKWTo&#10;7Qlo5Kmoiqk91hSL5nS9zFOLh+oePKVpcp1ZIY+YeuSYYmltpZ+9hCkoHsRTiswc9s3+FHjhMO7o&#10;Tz3sVLAmGXMJU+BxD8IUAo+qD6ZGH/0RpBca3bYPiodgypKsJgyw1vSNLvrDz1jVmyyqJZqC4iGQ&#10;0i2rjSSUYYg2sjRGEh5XEjTkKXd6U8Msn2qgFlLrglPcSRudqQftTOnNDckySy1ejGw+9MkqRLNq&#10;/7zMmu9mKX5zP0LqYUNqw21smenbO+NLNrX20g1xh6zFFrKQCXaWffm0ga3eKX/Ykti77zHZfAcf&#10;9nTkDrefIPCvN/gXdfwYXX39xz7ZW/zNW7VfPB79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0IAABbQ29udGVudF9UeXBlc10ueG1sUEsBAhQA&#10;CgAAAAAAh07iQAAAAAAAAAAAAAAAAAYAAAAAAAAAAAAQAAAAPwcAAF9yZWxzL1BLAQIUABQAAAAI&#10;AIdO4kCKFGY80QAAAJQBAAALAAAAAAAAAAEAIAAAAGMHAABfcmVscy8ucmVsc1BLAQIUAAoAAAAA&#10;AIdO4kAAAAAAAAAAAAAAAAAEAAAAAAAAAAAAEAAAAAAAAABkcnMvUEsBAhQAFAAAAAgAh07iQL9k&#10;7EPaAAAACgEAAA8AAAAAAAAAAQAgAAAAIgAAAGRycy9kb3ducmV2LnhtbFBLAQIUABQAAAAIAIdO&#10;4kCYHlZi6gUAADk5AAAOAAAAAAAAAAEAIAAAACkBAABkcnMvZTJvRG9jLnhtbFBLBQYAAAAABgAG&#10;AFkBAACFCQAAAAA=&#10;">
                <o:lock v:ext="edit" aspectratio="f"/>
                <v:roundrect id="_x0000_s1026" o:spid="_x0000_s1026" o:spt="2" style="position:absolute;left:10840;top:570436;height:827;width:4126;" filled="f" stroked="t" coordsize="21600,21600" arcsize="0.166666666666667" o:gfxdata="UEsDBAoAAAAAAIdO4kAAAAAAAAAAAAAAAAAEAAAAZHJzL1BLAwQUAAAACACHTuJAAvxl+L0AAADb&#10;AAAADwAAAGRycy9kb3ducmV2LnhtbEWPQWsCMRSE74L/ITzBm2ZXcJGt0YNQEE9qxbK3x+Y1u+3m&#10;ZZukuv77plDwOMzMN8x6O9hO3MiH1rGCfJ6BIK6dbtkouLy9zlYgQkTW2DkmBQ8KsN2MR2sstbvz&#10;iW7naESCcChRQRNjX0oZ6oYshrnriZP34bzFmKQ3Unu8J7jt5CLLCmmx5bTQYE+7huqv849VUF2L&#10;hV9W73w47Kr9UPRH8/ltlJpO8uwFRKQhPsP/7b1WsMzh70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X4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pPr>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rPr>
                          <w:t>突发环境事件现场应急指挥部</w:t>
                        </w:r>
                      </w:p>
                    </w:txbxContent>
                  </v:textbox>
                </v:roundrect>
                <v:shape id="_x0000_s1026" o:spid="_x0000_s1026" o:spt="32" type="#_x0000_t32" style="position:absolute;left:12911;top:571263;height:841;width:0;" filled="f" stroked="t" coordsize="21600,21600" o:gfxdata="UEsDBAoAAAAAAIdO4kAAAAAAAAAAAAAAAAAEAAAAZHJzL1BLAwQUAAAACACHTuJAupZuub4AAADb&#10;AAAADwAAAGRycy9kb3ducmV2LnhtbEWPQWvCQBSE7wX/w/IEL6KbKJYSXXMQCoJYaCzU4yP7uknN&#10;vg2728T++26h0OMwM98wu/JuOzGQD61jBfkyA0FcO92yUfB2eV48gQgRWWPnmBR8U4ByP3nYYaHd&#10;yK80VNGIBOFQoIImxr6QMtQNWQxL1xMn78N5izFJb6T2OCa47eQqyx6lxZbTQoM9HRqqb9WXVYDH&#10;69xzNZzMeF2v5Xiem/fPF6Vm0zzbgoh0j//hv/ZRK9hs4PdL+gF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pZuub4A&#10;AADb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shape>
                <v:group id="_x0000_s1026" o:spid="_x0000_s1026" o:spt="203" style="position:absolute;left:1796;top:571790;height:2984;width:21316;" coordorigin="1796,571790" coordsize="21316,2984" o:gfxdata="UEsDBAoAAAAAAIdO4kAAAAAAAAAAAAAAAAAEAAAAZHJzL1BLAwQUAAAACACHTuJASgLVQLsAAADc&#10;AAAADwAAAGRycy9kb3ducmV2LnhtbEVPTYvCMBC9L/gfwgje1rSKu1KNIqLiQYRVQbwNzdgWm0lp&#10;Yqv/3gjC3ubxPmc6f5hSNFS7wrKCuB+BIE6tLjhTcDquv8cgnEfWWFomBU9yMJ91vqaYaNvyHzUH&#10;n4kQwi5BBbn3VSKlS3My6Pq2Ig7c1dYGfYB1JnWNbQg3pRxE0Y80WHBoyLGiZU7p7XA3CjYttoth&#10;vGp2t+vyeTmO9uddTEr1unE0AeHp4f/FH/dWh/m/A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EoC1UC7AAAA3AAAAA8AAAAAAAAAAQAgAAAAIgAAAGRycy9kb3ducmV2LnhtbFBL&#10;AQIUABQAAAAIAIdO4kAzLwWeOwAAADkAAAAVAAAAAAAAAAEAIAAAAAoBAABkcnMvZ3JvdXBzaGFw&#10;ZXhtbC54bWxQSwUGAAAAAAYABgBgAQAAxwMAAAAA&#10;">
                  <o:lock v:ext="edit" aspectratio="f"/>
                  <v:rect id="_x0000_s1026" o:spid="_x0000_s1026" o:spt="1" style="position:absolute;left:1796;top:571790;height:2984;width:21316;" filled="f" stroked="t" coordsize="21600,21600" o:gfxdata="UEsDBAoAAAAAAIdO4kAAAAAAAAAAAAAAAAAEAAAAZHJzL1BLAwQUAAAACACHTuJAtsUtULwAAADb&#10;AAAADwAAAGRycy9kb3ducmV2LnhtbEWP3YrCMBSE7xd8h3AE79ZUxb/a6IWsKCwi/jzAoTk2pc1J&#10;abJV394sLOzlMDPfMNnmaWvRUetLxwpGwwQEce50yYWC23X3uQDhA7LG2jEpeJGHzbr3kWGq3YPP&#10;1F1CISKEfYoKTAhNKqXPDVn0Q9cQR+/uWoshyraQusVHhNtajpNkJi2WHBcMNrQ1lFeXH6vgOJ6b&#10;ZXHbIx2/Zded6q/JzFdKDfqjZAUi0DP8h//aB61guoTfL/EHyP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FLVC8AAAA&#10;2wAAAA8AAAAAAAAAAQAgAAAAIgAAAGRycy9kb3ducmV2LnhtbFBLAQIUABQAAAAIAIdO4kAzLwWe&#10;OwAAADkAAAAQAAAAAAAAAAEAIAAAAAsBAABkcnMvc2hhcGV4bWwueG1sUEsFBgAAAAAGAAYAWwEA&#10;ALUDAAAAAA==&#10;">
                    <v:fill on="f" focussize="0,0"/>
                    <v:stroke weight="1pt" color="#000000" joinstyle="miter" dashstyle="longDash"/>
                    <v:imagedata o:title=""/>
                    <o:lock v:ext="edit" aspectratio="f"/>
                  </v:rect>
                  <v:shape id="_x0000_s1026" o:spid="_x0000_s1026" o:spt="32" type="#_x0000_t32" style="position:absolute;left:22040;top:572107;height:566;width:0;" filled="f" stroked="t" coordsize="21600,21600" o:gfxdata="UEsDBAoAAAAAAIdO4kAAAAAAAAAAAAAAAAAEAAAAZHJzL1BLAwQUAAAACACHTuJAjhg02r0AAADb&#10;AAAADwAAAGRycy9kb3ducmV2LnhtbEWPQWsCMRSE70L/Q3gFL1Kzq2DLavQgCIK00FWox8fmmd12&#10;87Ikcdf++6YgeBxm5htmtbnZVvTkQ+NYQT7NQBBXTjdsFJyOu5c3ECEia2wdk4JfCrBZP41WWGg3&#10;8Cf1ZTQiQTgUqKCOsSukDFVNFsPUdcTJuzhvMSbpjdQehwS3rZxl2UJabDgt1NjRtqbqp7xaBbg/&#10;TzyX/cEM5/lcDu8T8/X9odT4Oc+WICLd4iN8b++1gtcc/r+kH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DTa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shape>
                  <v:shape id="_x0000_s1026" o:spid="_x0000_s1026" o:spt="32" type="#_x0000_t32" style="position:absolute;left:18082;top:572107;height:566;width:0;" filled="f" stroked="t" coordsize="21600,21600" o:gfxdata="UEsDBAoAAAAAAIdO4kAAAAAAAAAAAAAAAAAEAAAAZHJzL1BLAwQUAAAACACHTuJAnm+XQr4AAADb&#10;AAAADwAAAGRycy9kb3ducmV2LnhtbEWPQWsCMRSE7wX/Q3iFXkSz1qKyGj0IglAqdC3U42PzzK7d&#10;vCxJ3LX/vhEKHoeZ+YZZbW62ER35UDtWMBlnIIhLp2s2Cr6Ou9ECRIjIGhvHpOCXAmzWg6cV5tr1&#10;/EldEY1IEA45KqhibHMpQ1mRxTB2LXHyzs5bjEl6I7XHPsFtI1+zbCYt1pwWKmxpW1H5U1ytAtyf&#10;hp6L7t30p+lU9h9D8305KPXyPMmWICLd4iP8395rBfM3uH9JP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XQr4A&#10;AADb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shape>
                  <v:shape id="_x0000_s1026" o:spid="_x0000_s1026" o:spt="32" type="#_x0000_t32" style="position:absolute;left:20008;top:572107;height:566;width:0;" filled="f" stroked="t" coordsize="21600,21600" o:gfxdata="UEsDBAoAAAAAAIdO4kAAAAAAAAAAAAAAAAAEAAAAZHJzL1BLAwQUAAAACACHTuJA9t1WOb4AAADb&#10;AAAADwAAAGRycy9kb3ducmV2LnhtbEWPW2sCMRSE3wv9D+EUfNOsYhe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t1WO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15916;top:572107;height:566;width:0;" filled="f" stroked="t" coordsize="21600,21600" o:gfxdata="UEsDBAoAAAAAAIdO4kAAAAAAAAAAAAAAAAAEAAAAZHJzL1BLAwQUAAAACACHTuJABg/ITr4AAADb&#10;AAAADwAAAGRycy9kb3ducmV2LnhtbEWPW2sCMRSE3wv9D+EU+qZZha5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IT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13660;top:572107;height:566;width:0;" filled="f" stroked="t" coordsize="21600,21600" o:gfxdata="UEsDBAoAAAAAAIdO4kAAAAAAAAAAAAAAAAAEAAAAZHJzL1BLAwQUAAAACACHTuJAAfGsrr4AAADb&#10;AAAADwAAAGRycy9kb3ducmV2LnhtbEWPQWvCQBSE7wX/w/IEL6KbKNgSXXMQCoJYaCzU4yP7uknN&#10;vg2728T++26h0OMwM98wu/JuOzGQD61jBfkyA0FcO92yUfB2eV48gQgRWWPnmBR8U4ByP3nYYaHd&#10;yK80VNGIBOFQoIImxr6QMtQNWQxL1xMn78N5izFJb6T2OCa47eQqyzbSYstpocGeDg3Vt+rLKsDj&#10;de65Gk5mvK7XcjzPzfvni1KzaZ5tQUS6x//wX/uoFTxu4PdL+gF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Gsrr4A&#10;AADb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shape>
                  <v:shape id="_x0000_s1026" o:spid="_x0000_s1026" o:spt="32" type="#_x0000_t32" style="position:absolute;left:11584;top:572107;height:566;width:0;" filled="f" stroked="t" coordsize="21600,21600" o:gfxdata="UEsDBAoAAAAAAIdO4kAAAAAAAAAAAAAAAAAEAAAAZHJzL1BLAwQUAAAACACHTuJAOLGchL8AAADb&#10;AAAADwAAAGRycy9kb3ducmV2LnhtbEWPzWrDMBCE74G8g9hAb4nsUEzrRjEkIdSXBpqE0ONibS1R&#10;a2UsNT99+qhQ6HGYmW+YRXV1nTjTEKxnBfksA0HceG25VXA8bKdPIEJE1th5JgU3ClAtx6MFltpf&#10;+J3O+9iKBOFQogITY19KGRpDDsPM98TJ+/SDw5jk0Eo94CXBXSfnWVZIh5bTgsGe1oaar/23UxA3&#10;HzdTnJrVs90dXt8K+1PX9Uaph0mevYCIdI3/4b92rRUUj/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xnI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9484;top:572107;height:566;width:0;" filled="f" stroked="t" coordsize="21600,21600" o:gfxdata="UEsDBAoAAAAAAIdO4kAAAAAAAAAAAAAAAAAEAAAAZHJzL1BLAwQUAAAACACHTuJA2BSha70AAADb&#10;AAAADwAAAGRycy9kb3ducmV2LnhtbEWPzWsCMRTE7wX/h/AEbzWrh8VujYKKuBcLfiA9Pjavm9DN&#10;y7KJn399Iwg9DjPzG2Y6v7lGXKgL1rOC0TADQVx5bblWcDys3ycgQkTW2HgmBXcKMJ/13qZYaH/l&#10;HV32sRYJwqFABSbGtpAyVIYchqFviZP34zuHMcmulrrDa4K7Ro6zLJcOLacFgy0tDVW/+7NTEFff&#10;d5OfqsWH/Tpstrl9lGW5UmrQH2WfICLd4n/41S61gnwMzy/pB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FKF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7375;top:572107;height:566;width:0;" filled="f" stroked="t" coordsize="21600,21600" o:gfxdata="UEsDBAoAAAAAAIdO4kAAAAAAAAAAAAAAAAAEAAAAZHJzL1BLAwQUAAAACACHTuJASkTwzr0AAADb&#10;AAAADwAAAGRycy9kb3ducmV2LnhtbEWPQWsCMRSE7wX/Q3iCF9GsSkVWowdBEEoLXQU9PjbP7Orm&#10;ZUnSXfvvm0Khx2FmvmE2u6dtREc+1I4VzKYZCOLS6ZqNgvPpMFmBCBFZY+OYFHxTgN128LLBXLue&#10;P6krohEJwiFHBVWMbS5lKCuyGKauJU7ezXmLMUlvpPbYJ7ht5DzLltJizWmhwpb2FZWP4ssqwON1&#10;7Lno3kx/XSxk/z42l/uHUqPhLFuDiPSM/+G/9lEreF3C75f0A+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RPDO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shape>
                  <v:shape id="_x0000_s1026" o:spid="_x0000_s1026" o:spt="32" type="#_x0000_t32" style="position:absolute;left:5110;top:572107;height:566;width:0;" filled="f" stroked="t" coordsize="21600,21600" o:gfxdata="UEsDBAoAAAAAAIdO4kAAAAAAAAAAAAAAAAAEAAAAZHJzL1BLAwQUAAAACACHTuJA8SMy2b4AAADb&#10;AAAADwAAAGRycy9kb3ducmV2LnhtbEWPQWsCMRSE7wX/Q3iFXkSzVqqyGj0IglAqdC3U42PzzK7d&#10;vCxJ3LX/vhEKHoeZ+YZZbW62ER35UDtWMBlnIIhLp2s2Cr6Ou9ECRIjIGhvHpOCXAmzWg6cV5tr1&#10;/EldEY1IEA45KqhibHMpQ1mRxTB2LXHyzs5bjEl6I7XHPsFtI1+zbCYt1pwWKmxpW1H5U1ytAtyf&#10;hp6L7t30p+lU9h9D8305KPXyPMmWICLd4iP8395rBfM3uH9JP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SMy2b4A&#10;AADb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shape>
                  <v:shape id="_x0000_s1026" o:spid="_x0000_s1026" o:spt="32" type="#_x0000_t32" style="position:absolute;left:2869;top:572089;height:566;width:0;" filled="f" stroked="t" coordsize="21600,21600" o:gfxdata="UEsDBAoAAAAAAIdO4kAAAAAAAAAAAAAAAAAEAAAAZHJzL1BLAwQUAAAACACHTuJAufyWgboAAADb&#10;AAAADwAAAGRycy9kb3ducmV2LnhtbEVPy4rCMBTdD/gP4QqzG1NdFK1GQUXsZgR1GFxemmsTbG5K&#10;E1/z9ZOF4PJw3rPFwzXiRl2wnhUMBxkI4spry7WCn+PmawwiRGSNjWdS8KQAi3nvY4aF9nfe0+0Q&#10;a5FCOBSowMTYFlKGypDDMPAtceLOvnMYE+xqqTu8p3DXyFGW5dKh5dRgsKWVoepyuDoFcX16mvy3&#10;Wk7s7rj9zu1fWZZrpT77w2wKItIjvsUvd6kV5Gls+pJ+gJ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JaB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roundrect id="_x0000_s1026" o:spid="_x0000_s1026" o:spt="2" style="position:absolute;left:21653;top:572659;height:1752;width:780;" filled="f" stroked="t" coordsize="21600,21600" arcsize="0.166666666666667" o:gfxdata="UEsDBAoAAAAAAIdO4kAAAAAAAAAAAAAAAAAEAAAAZHJzL1BLAwQUAAAACACHTuJAqewEd74AAADb&#10;AAAADwAAAGRycy9kb3ducmV2LnhtbEWPQWvCQBSE7wX/w/KE3upGoVFSNzkIBfGktii5PbKvm7TZ&#10;t+nuqvHfdwuFHoeZ+YZZV6PtxZV86BwrmM8yEMSN0x0bBe9vr08rECEia+wdk4I7BajKycMaC+1u&#10;fKDrMRqRIBwKVNDGOBRShqYli2HmBuLkfThvMSbpjdQebwlue7nIslxa7DgttDjQpqXm63ixCupT&#10;vvDP9Zl3u029HfNhbz6/jVKP03n2AiLSGP/Df+2tVrBcwu+X9ANk+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wEd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textbox>
                      <w:txbxContent>
                        <w:p>
                          <w:pPr>
                            <w:jc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新闻发布组</w:t>
                          </w:r>
                        </w:p>
                      </w:txbxContent>
                    </v:textbox>
                  </v:roundrect>
                  <v:roundrect id="_x0000_s1026" o:spid="_x0000_s1026" o:spt="2" style="position:absolute;left:19607;top:572659;height:1751;width:780;" filled="f" stroked="t" coordsize="21600,21600" arcsize="0.166666666666667" o:gfxdata="UEsDBAoAAAAAAIdO4kAAAAAAAAAAAAAAAAAEAAAAZHJzL1BLAwQUAAAACACHTuJAk8bMZbkAAADb&#10;AAAADwAAAGRycy9kb3ducmV2LnhtbEVPTYvCMBC9C/6HMIK3NVWwLNXoQRDE06rLSm9DM6bVZlKT&#10;rHb//eYgeHy87+W6t614kA+NYwXTSQaCuHK6YaPg+7T9+AQRIrLG1jEp+KMA69VwsMRCuycf6HGM&#10;RqQQDgUqqGPsCilDVZPFMHEdceIuzluMCXojtcdnCretnGVZLi02nBpq7GhTU3U7/loF5U8+8/Py&#10;zPv9ptz1efdlrnej1Hg0zRYgIvXxLX65d1rBPI1NX9IPk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PGzGW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textbox>
                      <w:txbxContent>
                        <w:p>
                          <w:pPr>
                            <w:jc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善后处置组</w:t>
                          </w:r>
                        </w:p>
                      </w:txbxContent>
                    </v:textbox>
                  </v:roundrect>
                  <v:roundrect id="_x0000_s1026" o:spid="_x0000_s1026" o:spt="2" style="position:absolute;left:17684;top:572659;height:1752;width:780;" filled="f" stroked="t" coordsize="21600,21600" arcsize="0.166666666666667" o:gfxdata="UEsDBAoAAAAAAIdO4kAAAAAAAAAAAAAAAAAEAAAAZHJzL1BLAwQUAAAACACHTuJA2HOQBboAAADb&#10;AAAADwAAAGRycy9kb3ducmV2LnhtbEVPz2vCMBS+C/sfwhvspqnCqnRGD4IgnqYTpbdH85ZWm5ea&#10;ZFr/e3MQdvz4fs+XvW3FjXxoHCsYjzIQxJXTDRsFh5/1cAYiRGSNrWNS8KAAy8XbYI6Fdnfe0W0f&#10;jUghHApUUMfYFVKGqiaLYeQ64sT9Om8xJuiN1B7vKdy2cpJlubTYcGqosaNVTdVl/2cVlMd84j/L&#10;E2+3q3LT5923OV+NUh/v4+wLRKQ+/otf7o1WME1j05f0A+Ti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c5AF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textbox>
                      <w:txbxContent>
                        <w:p>
                          <w:pPr>
                            <w:jc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事故调查组</w:t>
                          </w:r>
                        </w:p>
                      </w:txbxContent>
                    </v:textbox>
                  </v:roundrect>
                  <v:roundrect id="_x0000_s1026" o:spid="_x0000_s1026" o:spt="2" style="position:absolute;left:15521;top:572659;height:1752;width:780;" filled="f" stroked="t" coordsize="21600,21600" arcsize="0.166666666666667" o:gfxdata="UEsDBAoAAAAAAIdO4kAAAAAAAAAAAAAAAAAEAAAAZHJzL1BLAwQUAAAACACHTuJA8i77j70AAADb&#10;AAAADwAAAGRycy9kb3ducmV2LnhtbEWPQWsCMRSE74L/ITzBm2ZdcJGt0YNQEE9qxbK3x+Y1u+3m&#10;ZZukuv77plDwOMzMN8x6O9hO3MiH1rGCxTwDQVw73bJRcHl7na1AhIissXNMCh4UYLsZj9ZYanfn&#10;E93O0YgE4VCigibGvpQy1A1ZDHPXEyfvw3mLMUlvpPZ4T3DbyTzLCmmx5bTQYE+7huqv849VUF2L&#10;3C+rdz4cdtV+KPqj+fw2Sk0ni+wFRKQhPsP/7b1WsMzh70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Lvu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pPr>
                            <w:jc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后勤保障组</w:t>
                          </w:r>
                        </w:p>
                      </w:txbxContent>
                    </v:textbox>
                  </v:roundrect>
                  <v:roundrect id="_x0000_s1026" o:spid="_x0000_s1026" o:spt="2" style="position:absolute;left:13268;top:572659;height:1769;width:780;" filled="f" stroked="t" coordsize="21600,21600" arcsize="0.166666666666667" o:gfxdata="UEsDBAoAAAAAAIdO4kAAAAAAAAAAAAAAAAAEAAAAZHJzL1BLAwQUAAAACACHTuJAo9wK3rkAAADb&#10;AAAADwAAAGRycy9kb3ducmV2LnhtbEVPTYvCMBC9L/gfwgh7W1OFLUs1ehAE8aSuKL0NzZhWm0lN&#10;otZ/bw4Le3y879mit614kA+NYwXjUQaCuHK6YaPg8Lv6+gERIrLG1jEpeFGAxXzwMcNCuyfv6LGP&#10;RqQQDgUqqGPsCilDVZPFMHIdceLOzluMCXojtcdnCretnGRZLi02nBpq7GhZU3Xd362C8phP/Hd5&#10;4s1mWa77vNuay80o9TkcZ1MQkfr4L/5zr7WCPK1PX9IPkPM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PcCt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textbox>
                      <w:txbxContent>
                        <w:p>
                          <w:pPr>
                            <w:jc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社会维稳组</w:t>
                          </w:r>
                        </w:p>
                      </w:txbxContent>
                    </v:textbox>
                  </v:roundrect>
                  <v:roundrect id="_x0000_s1026" o:spid="_x0000_s1026" o:spt="2" style="position:absolute;left:11196;top:572659;height:1752;width:780;" filled="f" stroked="t" coordsize="21600,21600" arcsize="0.166666666666667" o:gfxdata="UEsDBAoAAAAAAIdO4kAAAAAAAAAAAAAAAAAEAAAAZHJzL1BLAwQUAAAACACHTuJAnWJeFL4AAADb&#10;AAAADwAAAGRycy9kb3ducmV2LnhtbEWPQWvCQBSE7wX/w/KE3upGi0FSNzkIBfGktii5PbKvm7TZ&#10;t+nuqvHfdwuFHoeZ+YZZV6PtxZV86BwrmM8yEMSN0x0bBe9vr08rECEia+wdk4I7BajKycMaC+1u&#10;fKDrMRqRIBwKVNDGOBRShqYli2HmBuLkfThvMSbpjdQebwlue7nIslxa7DgttDjQpqXm63ixCupT&#10;vvDL+sy73abejvmwN5/fRqnH6Tx7ARFpjP/hv/ZWK1g+w++X9ANk+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WJeF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textbox>
                      <w:txbxContent>
                        <w:p>
                          <w:pPr>
                            <w:jc w:val="center"/>
                            <w:rPr>
                              <w:rFonts w:hint="eastAsia" w:eastAsia="宋体"/>
                              <w:lang w:eastAsia="zh-CN"/>
                            </w:rPr>
                          </w:pPr>
                          <w:r>
                            <w:rPr>
                              <w:rFonts w:hint="eastAsia" w:ascii="仿宋_GB2312" w:hAnsi="仿宋_GB2312" w:eastAsia="仿宋_GB2312" w:cs="仿宋_GB2312"/>
                              <w:b w:val="0"/>
                              <w:bCs/>
                              <w:color w:val="auto"/>
                              <w:sz w:val="24"/>
                              <w:szCs w:val="24"/>
                              <w:highlight w:val="none"/>
                              <w:lang w:eastAsia="zh-CN"/>
                            </w:rPr>
                            <w:t>医学救援组</w:t>
                          </w:r>
                        </w:p>
                      </w:txbxContent>
                    </v:textbox>
                  </v:roundrect>
                  <v:roundrect id="_x0000_s1026" o:spid="_x0000_s1026" o:spt="2" style="position:absolute;left:9099;top:572659;height:1751;width:780;" filled="f" stroked="t" coordsize="21600,21600" arcsize="0.166666666666667" o:gfxdata="UEsDBAoAAAAAAIdO4kAAAAAAAAAAAAAAAAAEAAAAZHJzL1BLAwQUAAAACACHTuJAuZun770AAADb&#10;AAAADwAAAGRycy9kb3ducmV2LnhtbEWPQWsCMRSE74X+h/AEbzXrgtuyNXoQCuJJbWnZ22PzzK5u&#10;XrZJquu/NwXB4zAz3zDz5WA7cSYfWscKppMMBHHtdMtGwdfnx8sbiBCRNXaOScGVAiwXz09zLLW7&#10;8I7O+2hEgnAoUUETY19KGeqGLIaJ64mTd3DeYkzSG6k9XhLcdjLPskJabDktNNjTqqH6tP+zCqrv&#10;Ivez6oc3m1W1Hop+a46/RqnxaJq9g4g0xEf43l5rBa85/H9JP0A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m6fv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pPr>
                            <w:jc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监测预警组</w:t>
                          </w:r>
                        </w:p>
                      </w:txbxContent>
                    </v:textbox>
                  </v:roundrect>
                  <v:roundrect id="_x0000_s1026" o:spid="_x0000_s1026" o:spt="2" style="position:absolute;left:6993;top:572677;height:1752;width:780;" filled="f" stroked="t" coordsize="21600,21600" arcsize="0.166666666666667" o:gfxdata="UEsDBAoAAAAAAIdO4kAAAAAAAAAAAAAAAAAEAAAAZHJzL1BLAwQUAAAACACHTuJAzJCvRb0AAADb&#10;AAAADwAAAGRycy9kb3ducmV2LnhtbEWPQWsCMRSE7wX/Q3hCbzW7QhdZjR4EQTy1VpS9PTbP7Orm&#10;ZU1S3f77plDwOMzMN8xiNdhO3MmH1rGCfJKBIK6dbtkoOHxt3mYgQkTW2DkmBT8UYLUcvSyw1O7B&#10;n3TfRyMShEOJCpoY+1LKUDdkMUxcT5y8s/MWY5LeSO3xkeC2k9MsK6TFltNCgz2tG6qv+2+roDoW&#10;U/9enXi3W1fboeg/zOVmlHod59kcRKQhPsP/7a1WUOTw9yX9ALn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kK9F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pPr>
                            <w:jc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专家技术组</w:t>
                          </w:r>
                        </w:p>
                      </w:txbxContent>
                    </v:textbox>
                  </v:roundrect>
                  <v:roundrect id="_x0000_s1026" o:spid="_x0000_s1026" o:spt="2" style="position:absolute;left:4713;top:572659;height:1750;width:780;" filled="f" stroked="t" coordsize="21600,21600" arcsize="0.166666666666667" o:gfxdata="UEsDBAoAAAAAAIdO4kAAAAAAAAAAAAAAAAAEAAAAZHJzL1BLAwQUAAAACACHTuJAUw6Uqb0AAADb&#10;AAAADwAAAGRycy9kb3ducmV2LnhtbEWPQWsCMRSE7wX/Q3iF3mpWi0vZGj0IgnhqVZS9PTbP7NrN&#10;yzZJdf33RhA8DjPzDTOd97YVZ/KhcaxgNMxAEFdON2wU7LbL908QISJrbB2TgisFmM8GL1MstLvw&#10;D5030YgE4VCggjrGrpAyVDVZDEPXESfv6LzFmKQ3Unu8JLht5TjLcmmx4bRQY0eLmqrfzb9VUO7z&#10;sZ+UB16vF+Wqz7tvc/ozSr29jrIvEJH6+Aw/2iutIP+A+5f0A+Ts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DpS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pPr>
                            <w:jc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应急处置组</w:t>
                          </w:r>
                        </w:p>
                      </w:txbxContent>
                    </v:textbox>
                  </v:roundrect>
                  <v:roundrect id="_x0000_s1026" o:spid="_x0000_s1026" o:spt="2" style="position:absolute;left:2458;top:572641;height:1754;width:780;" filled="f" stroked="t" coordsize="21600,21600" arcsize="0.166666666666667" o:gfxdata="UEsDBAoAAAAAAIdO4kAAAAAAAAAAAAAAAAAEAAAAZHJzL1BLAwQUAAAACACHTuJAs6upRr0AAADb&#10;AAAADwAAAGRycy9kb3ducmV2LnhtbEWPT2sCMRTE7wW/Q3hCbzWr4FJWowdBEE/+KZW9PTbP7Orm&#10;ZU2ibr+9KRR6HGbmN8x82dtWPMiHxrGC8SgDQVw53bBR8HVcf3yCCBFZY+uYFPxQgOVi8DbHQrsn&#10;7+lxiEYkCIcCFdQxdoWUoarJYhi5jjh5Z+ctxiS9kdrjM8FtKydZlkuLDaeFGjta1VRdD3eroPzO&#10;J35anni7XZWbPu925nIzSr0Px9kMRKQ+/of/2hutIJ/C75f0A+Ti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q6lG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pPr>
                            <w:jc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综合协调组</w:t>
                          </w:r>
                        </w:p>
                      </w:txbxContent>
                    </v:textbox>
                  </v:roundrect>
                  <v:shape id="_x0000_s1026" o:spid="_x0000_s1026" o:spt="32" type="#_x0000_t32" style="position:absolute;left:2850;top:572112;height:0;width:19181;" filled="f" stroked="t" coordsize="21600,21600" o:gfxdata="UEsDBAoAAAAAAIdO4kAAAAAAAAAAAAAAAAAEAAAAZHJzL1BLAwQUAAAACACHTuJAJOgjSbsAAADb&#10;AAAADwAAAGRycy9kb3ducmV2LnhtbEWPwWrDMBBE74X+g9hALyWR3YMxbpQcAoFCDnHdfsDW2tgm&#10;1spYsq38fVQI5DjMzBtmuw+mFzONrrOsIN0kIIhrqztuFPz+HNc5COeRNfaWScGNHOx3ry9bLLRd&#10;+JvmyjciQtgVqKD1fiikdHVLBt3GDsTRu9jRoI9ybKQecYlw08uPJMmkwY7jQosDHVqqr9VkFIRz&#10;xj6UefhbeDq5/L0MaEql3lZp8gnCU/DP8KP9pRVkGfx/iT9A7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OgjSb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shape>
                </v:group>
              </v:group>
            </w:pict>
          </mc:Fallback>
        </mc:AlternateContent>
      </w:r>
      <w:r>
        <w:rPr>
          <w:rFonts w:ascii="仿宋_GB2312" w:eastAsia="仿宋_GB2312"/>
          <w:color w:val="auto"/>
          <w:sz w:val="28"/>
          <w:szCs w:val="28"/>
          <w:highlight w:val="none"/>
        </w:rPr>
        <mc:AlternateContent>
          <mc:Choice Requires="wpg">
            <w:drawing>
              <wp:anchor distT="0" distB="0" distL="114300" distR="114300" simplePos="0" relativeHeight="251659264" behindDoc="0" locked="0" layoutInCell="1" allowOverlap="1">
                <wp:simplePos x="0" y="0"/>
                <wp:positionH relativeFrom="column">
                  <wp:posOffset>-531495</wp:posOffset>
                </wp:positionH>
                <wp:positionV relativeFrom="paragraph">
                  <wp:posOffset>410210</wp:posOffset>
                </wp:positionV>
                <wp:extent cx="14071600" cy="6109335"/>
                <wp:effectExtent l="0" t="0" r="0" b="0"/>
                <wp:wrapNone/>
                <wp:docPr id="50" name="组合 50"/>
                <wp:cNvGraphicFramePr/>
                <a:graphic xmlns:a="http://schemas.openxmlformats.org/drawingml/2006/main">
                  <a:graphicData uri="http://schemas.microsoft.com/office/word/2010/wordprocessingGroup">
                    <wpg:wgp>
                      <wpg:cNvGrpSpPr/>
                      <wpg:grpSpPr>
                        <a:xfrm>
                          <a:off x="0" y="0"/>
                          <a:ext cx="14071600" cy="6109335"/>
                          <a:chOff x="947" y="2215"/>
                          <a:chExt cx="22160" cy="9060"/>
                        </a:xfrm>
                      </wpg:grpSpPr>
                      <wps:wsp>
                        <wps:cNvPr id="1" name="圆角矩形 1"/>
                        <wps:cNvSpPr/>
                        <wps:spPr>
                          <a:xfrm>
                            <a:off x="0" y="0"/>
                            <a:ext cx="0" cy="0"/>
                          </a:xfrm>
                          <a:prstGeom prst="roundRect">
                            <a:avLst>
                              <a:gd name="adj" fmla="val 16667"/>
                            </a:avLst>
                          </a:prstGeom>
                          <a:solidFill>
                            <a:srgbClr val="FFFFFF"/>
                          </a:solidFill>
                          <a:ln>
                            <a:noFill/>
                          </a:ln>
                        </wps:spPr>
                        <wps:txbx>
                          <w:txbxContent>
                            <w:p>
                              <w:pPr>
                                <w:rPr>
                                  <w:rFonts w:eastAsia="宋体"/>
                                  <w:b/>
                                  <w:sz w:val="24"/>
                                </w:rPr>
                              </w:pPr>
                              <w:r>
                                <w:rPr>
                                  <w:rFonts w:hint="eastAsia" w:eastAsia="宋体"/>
                                  <w:b/>
                                  <w:sz w:val="24"/>
                                </w:rPr>
                                <w:t>应急工作组</w:t>
                              </w:r>
                            </w:p>
                          </w:txbxContent>
                        </wps:txbx>
                        <wps:bodyPr upright="1"/>
                      </wps:wsp>
                      <wps:wsp>
                        <wps:cNvPr id="2" name="圆角矩形 2"/>
                        <wps:cNvSpPr/>
                        <wps:spPr>
                          <a:xfrm>
                            <a:off x="0" y="0"/>
                            <a:ext cx="0" cy="0"/>
                          </a:xfrm>
                          <a:prstGeom prst="roundRect">
                            <a:avLst>
                              <a:gd name="adj" fmla="val 16667"/>
                            </a:avLst>
                          </a:prstGeom>
                          <a:solidFill>
                            <a:srgbClr val="FFFFFF"/>
                          </a:solidFill>
                          <a:ln>
                            <a:noFill/>
                          </a:ln>
                        </wps:spPr>
                        <wps:txbx>
                          <w:txbxContent>
                            <w:p>
                              <w:pPr>
                                <w:rPr>
                                  <w:rFonts w:eastAsia="宋体"/>
                                  <w:b/>
                                  <w:sz w:val="24"/>
                                </w:rPr>
                              </w:pPr>
                              <w:r>
                                <w:rPr>
                                  <w:rFonts w:hint="eastAsia" w:eastAsia="宋体"/>
                                  <w:b/>
                                  <w:sz w:val="24"/>
                                </w:rPr>
                                <w:t>成员单位</w:t>
                              </w:r>
                            </w:p>
                          </w:txbxContent>
                        </wps:txbx>
                        <wps:bodyPr upright="1"/>
                      </wps:wsp>
                      <wps:wsp>
                        <wps:cNvPr id="3" name="矩形 3"/>
                        <wps:cNvSpPr/>
                        <wps:spPr>
                          <a:xfrm>
                            <a:off x="0" y="0"/>
                            <a:ext cx="0" cy="0"/>
                          </a:xfrm>
                          <a:prstGeom prst="rect">
                            <a:avLst/>
                          </a:prstGeom>
                          <a:solidFill>
                            <a:srgbClr val="FFFFFF"/>
                          </a:solidFill>
                          <a:ln w="12700" cap="flat" cmpd="sng">
                            <a:solidFill>
                              <a:srgbClr val="000000"/>
                            </a:solidFill>
                            <a:prstDash val="lgDash"/>
                            <a:miter/>
                            <a:headEnd type="none" w="med" len="med"/>
                            <a:tailEnd type="none" w="med" len="med"/>
                          </a:ln>
                        </wps:spPr>
                        <wps:bodyPr upright="1"/>
                      </wps:wsp>
                      <wps:wsp>
                        <wps:cNvPr id="4" name="矩形 4"/>
                        <wps:cNvSpPr/>
                        <wps:spPr>
                          <a:xfrm>
                            <a:off x="0" y="0"/>
                            <a:ext cx="0" cy="0"/>
                          </a:xfrm>
                          <a:prstGeom prst="rect">
                            <a:avLst/>
                          </a:prstGeom>
                          <a:solidFill>
                            <a:srgbClr val="FFFFFF"/>
                          </a:solidFill>
                          <a:ln w="12700" cap="flat" cmpd="sng">
                            <a:solidFill>
                              <a:srgbClr val="000000"/>
                            </a:solidFill>
                            <a:prstDash val="lgDash"/>
                            <a:miter/>
                            <a:headEnd type="none" w="med" len="med"/>
                            <a:tailEnd type="none" w="med" len="med"/>
                          </a:ln>
                        </wps:spPr>
                        <wps:bodyPr upright="1"/>
                      </wps:wsp>
                      <wps:wsp>
                        <wps:cNvPr id="5" name="圆角矩形 5"/>
                        <wps:cNvSpPr/>
                        <wps:spPr>
                          <a:xfrm>
                            <a:off x="0" y="0"/>
                            <a:ext cx="0" cy="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400" w:lineRule="exact"/>
                                <w:jc w:val="center"/>
                                <w:rPr>
                                  <w:rFonts w:eastAsia="宋体"/>
                                  <w:b/>
                                </w:rPr>
                              </w:pPr>
                              <w:r>
                                <w:rPr>
                                  <w:rFonts w:hint="eastAsia" w:eastAsia="宋体"/>
                                  <w:b/>
                                </w:rPr>
                                <w:t>突发环境事件现场应急指挥部</w:t>
                              </w:r>
                            </w:p>
                          </w:txbxContent>
                        </wps:txbx>
                        <wps:bodyPr upright="1"/>
                      </wps:wsp>
                      <wps:wsp>
                        <wps:cNvPr id="6" name="直接箭头连接符 6"/>
                        <wps:cNvCnPr/>
                        <wps:spPr>
                          <a:xfrm>
                            <a:off x="0" y="0"/>
                            <a:ext cx="0" cy="0"/>
                          </a:xfrm>
                          <a:prstGeom prst="straightConnector1">
                            <a:avLst/>
                          </a:prstGeom>
                          <a:ln w="9525" cap="flat" cmpd="sng">
                            <a:solidFill>
                              <a:srgbClr val="000000"/>
                            </a:solidFill>
                            <a:prstDash val="solid"/>
                            <a:headEnd type="none" w="med" len="med"/>
                            <a:tailEnd type="triangle" w="med" len="med"/>
                          </a:ln>
                        </wps:spPr>
                        <wps:bodyPr/>
                      </wps:wsp>
                      <wps:wsp>
                        <wps:cNvPr id="7" name="直接箭头连接符 7"/>
                        <wps:cNvCnPr/>
                        <wps:spPr>
                          <a:xfrm>
                            <a:off x="0" y="0"/>
                            <a:ext cx="0" cy="0"/>
                          </a:xfrm>
                          <a:prstGeom prst="straightConnector1">
                            <a:avLst/>
                          </a:prstGeom>
                          <a:ln w="9525" cap="flat" cmpd="sng">
                            <a:solidFill>
                              <a:srgbClr val="000000"/>
                            </a:solidFill>
                            <a:prstDash val="solid"/>
                            <a:headEnd type="none" w="med" len="med"/>
                            <a:tailEnd type="none" w="med" len="med"/>
                          </a:ln>
                        </wps:spPr>
                        <wps:bodyPr/>
                      </wps:wsp>
                      <wps:wsp>
                        <wps:cNvPr id="8" name="圆角矩形 8"/>
                        <wps:cNvSpPr/>
                        <wps:spPr>
                          <a:xfrm>
                            <a:off x="0" y="0"/>
                            <a:ext cx="0" cy="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eastAsia="宋体"/>
                                </w:rPr>
                              </w:pPr>
                              <w:r>
                                <w:rPr>
                                  <w:rFonts w:hint="eastAsia" w:eastAsia="宋体"/>
                                </w:rPr>
                                <w:t>综合协调组</w:t>
                              </w:r>
                            </w:p>
                          </w:txbxContent>
                        </wps:txbx>
                        <wps:bodyPr upright="1"/>
                      </wps:wsp>
                      <wps:wsp>
                        <wps:cNvPr id="9" name="圆角矩形 9"/>
                        <wps:cNvSpPr/>
                        <wps:spPr>
                          <a:xfrm>
                            <a:off x="0" y="0"/>
                            <a:ext cx="0" cy="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eastAsia="宋体"/>
                                </w:rPr>
                              </w:pPr>
                              <w:r>
                                <w:rPr>
                                  <w:rFonts w:hint="eastAsia" w:eastAsia="宋体"/>
                                </w:rPr>
                                <w:t>应急处置组</w:t>
                              </w:r>
                            </w:p>
                          </w:txbxContent>
                        </wps:txbx>
                        <wps:bodyPr upright="1"/>
                      </wps:wsp>
                      <wps:wsp>
                        <wps:cNvPr id="10" name="圆角矩形 10"/>
                        <wps:cNvSpPr/>
                        <wps:spPr>
                          <a:xfrm>
                            <a:off x="0" y="0"/>
                            <a:ext cx="0" cy="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eastAsia="宋体"/>
                                  <w:lang w:eastAsia="zh-CN"/>
                                </w:rPr>
                              </w:pPr>
                              <w:r>
                                <w:rPr>
                                  <w:rFonts w:hint="eastAsia" w:eastAsia="宋体"/>
                                  <w:lang w:eastAsia="zh-CN"/>
                                </w:rPr>
                                <w:t>专家技术组</w:t>
                              </w:r>
                            </w:p>
                          </w:txbxContent>
                        </wps:txbx>
                        <wps:bodyPr upright="1"/>
                      </wps:wsp>
                      <wps:wsp>
                        <wps:cNvPr id="11" name="圆角矩形 11"/>
                        <wps:cNvSpPr/>
                        <wps:spPr>
                          <a:xfrm>
                            <a:off x="0" y="0"/>
                            <a:ext cx="0" cy="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eastAsia="宋体"/>
                                  <w:lang w:eastAsia="zh-CN"/>
                                </w:rPr>
                              </w:pPr>
                              <w:r>
                                <w:rPr>
                                  <w:rFonts w:hint="eastAsia" w:eastAsia="宋体"/>
                                  <w:lang w:eastAsia="zh-CN"/>
                                </w:rPr>
                                <w:t>监测预警组</w:t>
                              </w:r>
                            </w:p>
                          </w:txbxContent>
                        </wps:txbx>
                        <wps:bodyPr upright="1"/>
                      </wps:wsp>
                      <wps:wsp>
                        <wps:cNvPr id="12" name="圆角矩形 12"/>
                        <wps:cNvSpPr/>
                        <wps:spPr>
                          <a:xfrm>
                            <a:off x="0" y="0"/>
                            <a:ext cx="0" cy="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eastAsia="宋体"/>
                                  <w:lang w:eastAsia="zh-CN"/>
                                </w:rPr>
                              </w:pPr>
                              <w:r>
                                <w:rPr>
                                  <w:rFonts w:hint="eastAsia"/>
                                  <w:lang w:eastAsia="zh-CN"/>
                                </w:rPr>
                                <w:t>医学救援组</w:t>
                              </w:r>
                            </w:p>
                          </w:txbxContent>
                        </wps:txbx>
                        <wps:bodyPr upright="1"/>
                      </wps:wsp>
                      <wps:wsp>
                        <wps:cNvPr id="13" name="圆角矩形 13"/>
                        <wps:cNvSpPr/>
                        <wps:spPr>
                          <a:xfrm>
                            <a:off x="0" y="0"/>
                            <a:ext cx="0" cy="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eastAsia="宋体"/>
                                </w:rPr>
                              </w:pPr>
                              <w:r>
                                <w:rPr>
                                  <w:rFonts w:hint="eastAsia" w:eastAsia="宋体"/>
                                </w:rPr>
                                <w:t>社会维稳组</w:t>
                              </w:r>
                            </w:p>
                          </w:txbxContent>
                        </wps:txbx>
                        <wps:bodyPr upright="1"/>
                      </wps:wsp>
                      <wps:wsp>
                        <wps:cNvPr id="14" name="圆角矩形 14"/>
                        <wps:cNvSpPr/>
                        <wps:spPr>
                          <a:xfrm>
                            <a:off x="0" y="0"/>
                            <a:ext cx="0" cy="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eastAsia="宋体"/>
                                </w:rPr>
                              </w:pPr>
                              <w:r>
                                <w:rPr>
                                  <w:rFonts w:hint="eastAsia" w:eastAsia="宋体"/>
                                </w:rPr>
                                <w:t>后勤保障组</w:t>
                              </w:r>
                            </w:p>
                          </w:txbxContent>
                        </wps:txbx>
                        <wps:bodyPr upright="1"/>
                      </wps:wsp>
                      <wps:wsp>
                        <wps:cNvPr id="15" name="圆角矩形 15"/>
                        <wps:cNvSpPr/>
                        <wps:spPr>
                          <a:xfrm>
                            <a:off x="0" y="0"/>
                            <a:ext cx="0" cy="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eastAsia="宋体"/>
                                </w:rPr>
                              </w:pPr>
                              <w:r>
                                <w:rPr>
                                  <w:rFonts w:hint="eastAsia" w:eastAsia="宋体"/>
                                </w:rPr>
                                <w:t>事故调查组</w:t>
                              </w:r>
                            </w:p>
                          </w:txbxContent>
                        </wps:txbx>
                        <wps:bodyPr upright="1"/>
                      </wps:wsp>
                      <wps:wsp>
                        <wps:cNvPr id="16" name="圆角矩形 16"/>
                        <wps:cNvSpPr/>
                        <wps:spPr>
                          <a:xfrm>
                            <a:off x="0" y="0"/>
                            <a:ext cx="0" cy="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eastAsia="宋体"/>
                                </w:rPr>
                              </w:pPr>
                              <w:r>
                                <w:rPr>
                                  <w:rFonts w:hint="eastAsia" w:eastAsia="宋体"/>
                                </w:rPr>
                                <w:t>善后处置组</w:t>
                              </w:r>
                            </w:p>
                          </w:txbxContent>
                        </wps:txbx>
                        <wps:bodyPr upright="1"/>
                      </wps:wsp>
                      <wps:wsp>
                        <wps:cNvPr id="17" name="圆角矩形 17"/>
                        <wps:cNvSpPr/>
                        <wps:spPr>
                          <a:xfrm>
                            <a:off x="0" y="0"/>
                            <a:ext cx="0" cy="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eastAsia="宋体"/>
                                </w:rPr>
                              </w:pPr>
                              <w:r>
                                <w:rPr>
                                  <w:rFonts w:hint="eastAsia" w:eastAsia="宋体"/>
                                </w:rPr>
                                <w:t>宣传报道组</w:t>
                              </w:r>
                            </w:p>
                          </w:txbxContent>
                        </wps:txbx>
                        <wps:bodyPr upright="1"/>
                      </wps:wsp>
                      <wps:wsp>
                        <wps:cNvPr id="19" name="圆角矩形 19"/>
                        <wps:cNvSpPr/>
                        <wps:spPr>
                          <a:xfrm>
                            <a:off x="0" y="0"/>
                            <a:ext cx="0" cy="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400" w:lineRule="exact"/>
                                <w:jc w:val="left"/>
                                <w:rPr>
                                  <w:rFonts w:hint="eastAsia" w:eastAsia="宋体"/>
                                </w:rPr>
                              </w:pPr>
                              <w:r>
                                <w:rPr>
                                  <w:rFonts w:hint="eastAsia" w:eastAsia="宋体"/>
                                </w:rPr>
                                <w:t>省应急厅</w:t>
                              </w:r>
                            </w:p>
                            <w:p>
                              <w:pPr>
                                <w:spacing w:line="400" w:lineRule="exact"/>
                                <w:jc w:val="left"/>
                                <w:rPr>
                                  <w:rFonts w:eastAsia="宋体"/>
                                </w:rPr>
                              </w:pPr>
                              <w:r>
                                <w:rPr>
                                  <w:rFonts w:hint="eastAsia" w:eastAsia="宋体"/>
                                </w:rPr>
                                <w:t>省生态环境厅</w:t>
                              </w:r>
                            </w:p>
                            <w:p>
                              <w:pPr>
                                <w:spacing w:line="400" w:lineRule="exact"/>
                                <w:jc w:val="left"/>
                                <w:rPr>
                                  <w:rFonts w:eastAsia="宋体"/>
                                </w:rPr>
                              </w:pPr>
                              <w:r>
                                <w:rPr>
                                  <w:rFonts w:hint="eastAsia" w:eastAsia="宋体"/>
                                </w:rPr>
                                <w:t>省委宣传部</w:t>
                              </w:r>
                            </w:p>
                            <w:p>
                              <w:pPr>
                                <w:spacing w:line="400" w:lineRule="exact"/>
                                <w:jc w:val="left"/>
                                <w:rPr>
                                  <w:rFonts w:eastAsia="宋体"/>
                                </w:rPr>
                              </w:pPr>
                              <w:r>
                                <w:rPr>
                                  <w:rFonts w:hint="eastAsia" w:eastAsia="宋体"/>
                                </w:rPr>
                                <w:t>属地政府</w:t>
                              </w:r>
                            </w:p>
                          </w:txbxContent>
                        </wps:txbx>
                        <wps:bodyPr upright="1"/>
                      </wps:wsp>
                      <wps:wsp>
                        <wps:cNvPr id="23" name="圆角矩形 23"/>
                        <wps:cNvSpPr/>
                        <wps:spPr>
                          <a:xfrm>
                            <a:off x="0" y="0"/>
                            <a:ext cx="0" cy="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left"/>
                                <w:rPr>
                                  <w:rFonts w:eastAsia="宋体"/>
                                </w:rPr>
                              </w:pPr>
                              <w:r>
                                <w:rPr>
                                  <w:rFonts w:hint="eastAsia" w:eastAsia="宋体"/>
                                </w:rPr>
                                <w:t>省生态环境厅</w:t>
                              </w:r>
                            </w:p>
                            <w:p>
                              <w:pPr>
                                <w:jc w:val="left"/>
                                <w:rPr>
                                  <w:rFonts w:eastAsia="宋体"/>
                                </w:rPr>
                              </w:pPr>
                              <w:r>
                                <w:rPr>
                                  <w:rFonts w:hint="eastAsia" w:eastAsia="宋体"/>
                                </w:rPr>
                                <w:t>属地政府</w:t>
                              </w:r>
                            </w:p>
                            <w:p>
                              <w:pPr>
                                <w:jc w:val="left"/>
                                <w:rPr>
                                  <w:rFonts w:eastAsia="宋体"/>
                                </w:rPr>
                              </w:pPr>
                              <w:r>
                                <w:rPr>
                                  <w:rFonts w:hint="eastAsia" w:eastAsia="宋体"/>
                                </w:rPr>
                                <w:t>省教育厅</w:t>
                              </w:r>
                            </w:p>
                            <w:p>
                              <w:pPr>
                                <w:jc w:val="left"/>
                                <w:rPr>
                                  <w:rFonts w:eastAsia="宋体"/>
                                </w:rPr>
                              </w:pPr>
                              <w:r>
                                <w:rPr>
                                  <w:rFonts w:hint="eastAsia" w:eastAsia="宋体"/>
                                </w:rPr>
                                <w:t>省公安厅</w:t>
                              </w:r>
                            </w:p>
                            <w:p>
                              <w:pPr>
                                <w:jc w:val="left"/>
                                <w:rPr>
                                  <w:rFonts w:eastAsia="宋体"/>
                                </w:rPr>
                              </w:pPr>
                              <w:r>
                                <w:rPr>
                                  <w:rFonts w:hint="eastAsia" w:eastAsia="宋体"/>
                                </w:rPr>
                                <w:t>省交通运输厅</w:t>
                              </w:r>
                            </w:p>
                            <w:p>
                              <w:pPr>
                                <w:jc w:val="left"/>
                                <w:rPr>
                                  <w:rFonts w:eastAsia="宋体"/>
                                </w:rPr>
                              </w:pPr>
                              <w:r>
                                <w:rPr>
                                  <w:rFonts w:hint="eastAsia" w:eastAsia="宋体"/>
                                </w:rPr>
                                <w:t>省农业农村厅</w:t>
                              </w:r>
                            </w:p>
                            <w:p>
                              <w:pPr>
                                <w:jc w:val="left"/>
                                <w:rPr>
                                  <w:rFonts w:eastAsia="宋体"/>
                                </w:rPr>
                              </w:pPr>
                              <w:r>
                                <w:rPr>
                                  <w:rFonts w:hint="eastAsia" w:eastAsia="宋体"/>
                                </w:rPr>
                                <w:t>省水利厅</w:t>
                              </w:r>
                            </w:p>
                            <w:p>
                              <w:pPr>
                                <w:jc w:val="left"/>
                                <w:rPr>
                                  <w:rFonts w:hint="eastAsia" w:eastAsia="宋体"/>
                                </w:rPr>
                              </w:pPr>
                              <w:r>
                                <w:rPr>
                                  <w:rFonts w:hint="eastAsia" w:eastAsia="宋体"/>
                                </w:rPr>
                                <w:t>省应急厅</w:t>
                              </w:r>
                            </w:p>
                            <w:p>
                              <w:pPr>
                                <w:jc w:val="left"/>
                                <w:rPr>
                                  <w:rFonts w:eastAsia="宋体"/>
                                </w:rPr>
                              </w:pPr>
                              <w:r>
                                <w:rPr>
                                  <w:rFonts w:hint="eastAsia" w:eastAsia="宋体"/>
                                </w:rPr>
                                <w:t>省卫生健康委</w:t>
                              </w:r>
                            </w:p>
                            <w:p>
                              <w:pPr>
                                <w:jc w:val="left"/>
                                <w:rPr>
                                  <w:rFonts w:eastAsia="宋体"/>
                                </w:rPr>
                              </w:pPr>
                              <w:r>
                                <w:rPr>
                                  <w:rFonts w:hint="eastAsia" w:eastAsia="宋体"/>
                                </w:rPr>
                                <w:t>省林业局</w:t>
                              </w:r>
                            </w:p>
                            <w:p>
                              <w:pPr>
                                <w:jc w:val="left"/>
                                <w:rPr>
                                  <w:rFonts w:eastAsia="宋体"/>
                                </w:rPr>
                              </w:pPr>
                              <w:r>
                                <w:rPr>
                                  <w:rFonts w:hint="eastAsia" w:eastAsia="宋体"/>
                                </w:rPr>
                                <w:t>省能源局</w:t>
                              </w:r>
                            </w:p>
                            <w:p>
                              <w:pPr>
                                <w:jc w:val="left"/>
                                <w:rPr>
                                  <w:rFonts w:eastAsia="宋体"/>
                                </w:rPr>
                              </w:pPr>
                              <w:r>
                                <w:rPr>
                                  <w:rFonts w:hint="eastAsia" w:eastAsia="宋体"/>
                                </w:rPr>
                                <w:t>省文化旅游厅</w:t>
                              </w:r>
                            </w:p>
                            <w:p>
                              <w:pPr>
                                <w:jc w:val="left"/>
                                <w:rPr>
                                  <w:rFonts w:eastAsia="宋体"/>
                                </w:rPr>
                              </w:pPr>
                              <w:r>
                                <w:rPr>
                                  <w:rFonts w:hint="eastAsia" w:eastAsia="宋体"/>
                                </w:rPr>
                                <w:t>省军区司令部</w:t>
                              </w:r>
                            </w:p>
                            <w:p>
                              <w:pPr>
                                <w:jc w:val="left"/>
                                <w:rPr>
                                  <w:rFonts w:eastAsia="宋体"/>
                                </w:rPr>
                              </w:pPr>
                              <w:r>
                                <w:rPr>
                                  <w:rFonts w:hint="eastAsia" w:eastAsia="宋体"/>
                                </w:rPr>
                                <w:t>省武警总队司令部</w:t>
                              </w:r>
                            </w:p>
                          </w:txbxContent>
                        </wps:txbx>
                        <wps:bodyPr upright="1"/>
                      </wps:wsp>
                      <wps:wsp>
                        <wps:cNvPr id="24" name="圆角矩形 24"/>
                        <wps:cNvSpPr/>
                        <wps:spPr>
                          <a:xfrm>
                            <a:off x="0" y="0"/>
                            <a:ext cx="0" cy="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400" w:lineRule="exact"/>
                                <w:jc w:val="left"/>
                                <w:rPr>
                                  <w:rFonts w:eastAsia="宋体"/>
                                </w:rPr>
                              </w:pPr>
                              <w:r>
                                <w:rPr>
                                  <w:rFonts w:hint="eastAsia" w:eastAsia="宋体"/>
                                </w:rPr>
                                <w:t>省生态环境厅</w:t>
                              </w:r>
                            </w:p>
                            <w:p>
                              <w:pPr>
                                <w:spacing w:line="400" w:lineRule="exact"/>
                                <w:jc w:val="left"/>
                                <w:rPr>
                                  <w:rFonts w:eastAsia="宋体"/>
                                </w:rPr>
                              </w:pPr>
                              <w:r>
                                <w:rPr>
                                  <w:rFonts w:hint="eastAsia" w:eastAsia="宋体"/>
                                </w:rPr>
                                <w:t>属地政府</w:t>
                              </w:r>
                            </w:p>
                            <w:p>
                              <w:pPr>
                                <w:spacing w:line="400" w:lineRule="exact"/>
                                <w:jc w:val="left"/>
                                <w:rPr>
                                  <w:rFonts w:eastAsia="宋体"/>
                                </w:rPr>
                              </w:pPr>
                              <w:r>
                                <w:rPr>
                                  <w:rFonts w:hint="eastAsia" w:eastAsia="宋体"/>
                                </w:rPr>
                                <w:t>省水利厅</w:t>
                              </w:r>
                            </w:p>
                            <w:p>
                              <w:pPr>
                                <w:spacing w:line="400" w:lineRule="exact"/>
                                <w:jc w:val="left"/>
                                <w:rPr>
                                  <w:rFonts w:eastAsia="宋体"/>
                                </w:rPr>
                              </w:pPr>
                              <w:r>
                                <w:rPr>
                                  <w:rFonts w:hint="eastAsia" w:eastAsia="宋体"/>
                                </w:rPr>
                                <w:t>省地震局</w:t>
                              </w:r>
                            </w:p>
                            <w:p>
                              <w:pPr>
                                <w:spacing w:line="400" w:lineRule="exact"/>
                                <w:jc w:val="left"/>
                                <w:rPr>
                                  <w:rFonts w:eastAsia="宋体"/>
                                </w:rPr>
                              </w:pPr>
                              <w:r>
                                <w:rPr>
                                  <w:rFonts w:hint="eastAsia" w:eastAsia="宋体"/>
                                </w:rPr>
                                <w:t>省气象局</w:t>
                              </w:r>
                            </w:p>
                          </w:txbxContent>
                        </wps:txbx>
                        <wps:bodyPr upright="1"/>
                      </wps:wsp>
                      <wps:wsp>
                        <wps:cNvPr id="25" name="圆角矩形 25"/>
                        <wps:cNvSpPr/>
                        <wps:spPr>
                          <a:xfrm>
                            <a:off x="0" y="0"/>
                            <a:ext cx="0" cy="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400" w:lineRule="exact"/>
                                <w:jc w:val="left"/>
                                <w:rPr>
                                  <w:rFonts w:eastAsia="宋体"/>
                                </w:rPr>
                              </w:pPr>
                              <w:r>
                                <w:rPr>
                                  <w:rFonts w:hint="eastAsia" w:eastAsia="宋体"/>
                                </w:rPr>
                                <w:t>省卫生健康委</w:t>
                              </w:r>
                            </w:p>
                            <w:p>
                              <w:pPr>
                                <w:spacing w:line="400" w:lineRule="exact"/>
                                <w:jc w:val="left"/>
                                <w:rPr>
                                  <w:rFonts w:eastAsia="宋体"/>
                                </w:rPr>
                              </w:pPr>
                              <w:r>
                                <w:rPr>
                                  <w:rFonts w:hint="eastAsia" w:eastAsia="宋体"/>
                                </w:rPr>
                                <w:t>属地政府</w:t>
                              </w:r>
                            </w:p>
                            <w:p>
                              <w:pPr>
                                <w:spacing w:line="400" w:lineRule="exact"/>
                                <w:jc w:val="left"/>
                                <w:rPr>
                                  <w:rFonts w:eastAsia="宋体"/>
                                </w:rPr>
                              </w:pPr>
                              <w:r>
                                <w:rPr>
                                  <w:rFonts w:hint="eastAsia" w:eastAsia="宋体"/>
                                </w:rPr>
                                <w:t>医疗卫生机构</w:t>
                              </w:r>
                            </w:p>
                          </w:txbxContent>
                        </wps:txbx>
                        <wps:bodyPr upright="1"/>
                      </wps:wsp>
                      <wps:wsp>
                        <wps:cNvPr id="26" name="圆角矩形 26"/>
                        <wps:cNvSpPr/>
                        <wps:spPr>
                          <a:xfrm>
                            <a:off x="0" y="0"/>
                            <a:ext cx="0" cy="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400" w:lineRule="exact"/>
                                <w:jc w:val="left"/>
                                <w:rPr>
                                  <w:rFonts w:eastAsia="宋体"/>
                                </w:rPr>
                              </w:pPr>
                              <w:r>
                                <w:rPr>
                                  <w:rFonts w:hint="eastAsia" w:eastAsia="宋体"/>
                                </w:rPr>
                                <w:t>省委政法委员会</w:t>
                              </w:r>
                            </w:p>
                            <w:p>
                              <w:pPr>
                                <w:spacing w:line="400" w:lineRule="exact"/>
                                <w:jc w:val="left"/>
                                <w:rPr>
                                  <w:rFonts w:eastAsia="宋体"/>
                                </w:rPr>
                              </w:pPr>
                              <w:r>
                                <w:rPr>
                                  <w:rFonts w:hint="eastAsia" w:eastAsia="宋体"/>
                                </w:rPr>
                                <w:t>属地政府</w:t>
                              </w:r>
                            </w:p>
                            <w:p>
                              <w:pPr>
                                <w:spacing w:line="400" w:lineRule="exact"/>
                                <w:jc w:val="left"/>
                                <w:rPr>
                                  <w:rFonts w:eastAsia="宋体"/>
                                </w:rPr>
                              </w:pPr>
                              <w:r>
                                <w:rPr>
                                  <w:rFonts w:hint="eastAsia" w:eastAsia="宋体"/>
                                </w:rPr>
                                <w:t>省公安厅</w:t>
                              </w:r>
                            </w:p>
                            <w:p>
                              <w:pPr>
                                <w:spacing w:line="400" w:lineRule="exact"/>
                                <w:jc w:val="left"/>
                                <w:rPr>
                                  <w:rFonts w:eastAsia="宋体"/>
                                </w:rPr>
                              </w:pPr>
                              <w:r>
                                <w:rPr>
                                  <w:rFonts w:hint="eastAsia" w:eastAsia="宋体"/>
                                </w:rPr>
                                <w:t>省民政厅</w:t>
                              </w:r>
                            </w:p>
                          </w:txbxContent>
                        </wps:txbx>
                        <wps:bodyPr upright="1"/>
                      </wps:wsp>
                      <wps:wsp>
                        <wps:cNvPr id="27" name="圆角矩形 27"/>
                        <wps:cNvSpPr/>
                        <wps:spPr>
                          <a:xfrm>
                            <a:off x="0" y="0"/>
                            <a:ext cx="0" cy="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400" w:lineRule="exact"/>
                                <w:jc w:val="left"/>
                                <w:rPr>
                                  <w:rFonts w:hint="eastAsia" w:eastAsia="宋体"/>
                                </w:rPr>
                              </w:pPr>
                              <w:r>
                                <w:rPr>
                                  <w:rFonts w:hint="eastAsia" w:eastAsia="宋体"/>
                                </w:rPr>
                                <w:t>省应急厅</w:t>
                              </w:r>
                            </w:p>
                            <w:p>
                              <w:pPr>
                                <w:spacing w:line="400" w:lineRule="exact"/>
                                <w:jc w:val="left"/>
                                <w:rPr>
                                  <w:rFonts w:eastAsia="宋体"/>
                                </w:rPr>
                              </w:pPr>
                              <w:r>
                                <w:rPr>
                                  <w:rFonts w:hint="eastAsia" w:eastAsia="宋体"/>
                                </w:rPr>
                                <w:t>属地政府</w:t>
                              </w:r>
                            </w:p>
                            <w:p>
                              <w:pPr>
                                <w:spacing w:line="400" w:lineRule="exact"/>
                                <w:jc w:val="left"/>
                                <w:rPr>
                                  <w:rFonts w:eastAsia="宋体"/>
                                </w:rPr>
                              </w:pPr>
                              <w:r>
                                <w:rPr>
                                  <w:rFonts w:hint="eastAsia" w:eastAsia="宋体"/>
                                </w:rPr>
                                <w:t>省发展改革委</w:t>
                              </w:r>
                            </w:p>
                            <w:p>
                              <w:pPr>
                                <w:spacing w:line="400" w:lineRule="exact"/>
                                <w:jc w:val="left"/>
                                <w:rPr>
                                  <w:rFonts w:eastAsia="宋体"/>
                                </w:rPr>
                              </w:pPr>
                              <w:r>
                                <w:rPr>
                                  <w:rFonts w:hint="eastAsia" w:eastAsia="宋体"/>
                                </w:rPr>
                                <w:t>省工业和信息化厅</w:t>
                              </w:r>
                            </w:p>
                            <w:p>
                              <w:pPr>
                                <w:spacing w:line="400" w:lineRule="exact"/>
                                <w:jc w:val="left"/>
                                <w:rPr>
                                  <w:rFonts w:eastAsia="宋体"/>
                                </w:rPr>
                              </w:pPr>
                              <w:r>
                                <w:rPr>
                                  <w:rFonts w:hint="eastAsia" w:eastAsia="宋体"/>
                                </w:rPr>
                                <w:t>省公安厅</w:t>
                              </w:r>
                            </w:p>
                            <w:p>
                              <w:pPr>
                                <w:spacing w:line="400" w:lineRule="exact"/>
                                <w:jc w:val="left"/>
                                <w:rPr>
                                  <w:rFonts w:eastAsia="宋体"/>
                                </w:rPr>
                              </w:pPr>
                              <w:r>
                                <w:rPr>
                                  <w:rFonts w:hint="eastAsia" w:eastAsia="宋体"/>
                                </w:rPr>
                                <w:t>省财政厅</w:t>
                              </w:r>
                            </w:p>
                            <w:p>
                              <w:pPr>
                                <w:spacing w:line="400" w:lineRule="exact"/>
                                <w:jc w:val="left"/>
                                <w:rPr>
                                  <w:rFonts w:eastAsia="宋体"/>
                                </w:rPr>
                              </w:pPr>
                              <w:r>
                                <w:rPr>
                                  <w:rFonts w:hint="eastAsia" w:eastAsia="宋体"/>
                                </w:rPr>
                                <w:t>省住房城乡建设厅</w:t>
                              </w:r>
                            </w:p>
                            <w:p>
                              <w:pPr>
                                <w:spacing w:line="400" w:lineRule="exact"/>
                                <w:jc w:val="left"/>
                                <w:rPr>
                                  <w:rFonts w:eastAsia="宋体"/>
                                </w:rPr>
                              </w:pPr>
                              <w:r>
                                <w:rPr>
                                  <w:rFonts w:hint="eastAsia" w:eastAsia="宋体"/>
                                </w:rPr>
                                <w:t>省交通运输厅</w:t>
                              </w:r>
                            </w:p>
                            <w:p>
                              <w:pPr>
                                <w:spacing w:line="400" w:lineRule="exact"/>
                                <w:jc w:val="left"/>
                                <w:rPr>
                                  <w:rFonts w:eastAsia="宋体"/>
                                </w:rPr>
                              </w:pPr>
                              <w:r>
                                <w:rPr>
                                  <w:rFonts w:hint="eastAsia" w:eastAsia="宋体"/>
                                </w:rPr>
                                <w:t>省粮食和物资储备局</w:t>
                              </w:r>
                            </w:p>
                            <w:p>
                              <w:pPr>
                                <w:spacing w:line="400" w:lineRule="exact"/>
                                <w:jc w:val="left"/>
                                <w:rPr>
                                  <w:rFonts w:eastAsia="宋体"/>
                                </w:rPr>
                              </w:pPr>
                              <w:r>
                                <w:rPr>
                                  <w:rFonts w:hint="eastAsia" w:eastAsia="宋体"/>
                                </w:rPr>
                                <w:t>省通信管理局</w:t>
                              </w:r>
                            </w:p>
                          </w:txbxContent>
                        </wps:txbx>
                        <wps:bodyPr upright="1"/>
                      </wps:wsp>
                      <wps:wsp>
                        <wps:cNvPr id="28" name="直接箭头连接符 28"/>
                        <wps:cNvCnPr/>
                        <wps:spPr>
                          <a:xfrm>
                            <a:off x="0" y="0"/>
                            <a:ext cx="0" cy="0"/>
                          </a:xfrm>
                          <a:prstGeom prst="straightConnector1">
                            <a:avLst/>
                          </a:prstGeom>
                          <a:ln w="9525" cap="flat" cmpd="sng">
                            <a:solidFill>
                              <a:srgbClr val="000000"/>
                            </a:solidFill>
                            <a:prstDash val="solid"/>
                            <a:headEnd type="none" w="med" len="med"/>
                            <a:tailEnd type="triangle" w="med" len="med"/>
                          </a:ln>
                        </wps:spPr>
                        <wps:bodyPr/>
                      </wps:wsp>
                      <wps:wsp>
                        <wps:cNvPr id="29" name="直接箭头连接符 29"/>
                        <wps:cNvCnPr/>
                        <wps:spPr>
                          <a:xfrm>
                            <a:off x="0" y="0"/>
                            <a:ext cx="0" cy="0"/>
                          </a:xfrm>
                          <a:prstGeom prst="straightConnector1">
                            <a:avLst/>
                          </a:prstGeom>
                          <a:ln w="9525" cap="flat" cmpd="sng">
                            <a:solidFill>
                              <a:srgbClr val="000000"/>
                            </a:solidFill>
                            <a:prstDash val="solid"/>
                            <a:headEnd type="none" w="med" len="med"/>
                            <a:tailEnd type="triangle" w="med" len="med"/>
                          </a:ln>
                        </wps:spPr>
                        <wps:bodyPr/>
                      </wps:wsp>
                      <wps:wsp>
                        <wps:cNvPr id="30" name="直接箭头连接符 30"/>
                        <wps:cNvCnPr/>
                        <wps:spPr>
                          <a:xfrm>
                            <a:off x="0" y="0"/>
                            <a:ext cx="0" cy="0"/>
                          </a:xfrm>
                          <a:prstGeom prst="straightConnector1">
                            <a:avLst/>
                          </a:prstGeom>
                          <a:ln w="9525" cap="flat" cmpd="sng">
                            <a:solidFill>
                              <a:srgbClr val="000000"/>
                            </a:solidFill>
                            <a:prstDash val="solid"/>
                            <a:headEnd type="none" w="med" len="med"/>
                            <a:tailEnd type="triangle" w="med" len="med"/>
                          </a:ln>
                        </wps:spPr>
                        <wps:bodyPr/>
                      </wps:wsp>
                      <wps:wsp>
                        <wps:cNvPr id="31" name="直接箭头连接符 31"/>
                        <wps:cNvCnPr/>
                        <wps:spPr>
                          <a:xfrm>
                            <a:off x="0" y="0"/>
                            <a:ext cx="0" cy="0"/>
                          </a:xfrm>
                          <a:prstGeom prst="straightConnector1">
                            <a:avLst/>
                          </a:prstGeom>
                          <a:ln w="9525" cap="flat" cmpd="sng">
                            <a:solidFill>
                              <a:srgbClr val="000000"/>
                            </a:solidFill>
                            <a:prstDash val="solid"/>
                            <a:headEnd type="none" w="med" len="med"/>
                            <a:tailEnd type="triangle" w="med" len="med"/>
                          </a:ln>
                        </wps:spPr>
                        <wps:bodyPr/>
                      </wps:wsp>
                      <wps:wsp>
                        <wps:cNvPr id="32" name="直接箭头连接符 32"/>
                        <wps:cNvCnPr/>
                        <wps:spPr>
                          <a:xfrm>
                            <a:off x="0" y="0"/>
                            <a:ext cx="0" cy="0"/>
                          </a:xfrm>
                          <a:prstGeom prst="straightConnector1">
                            <a:avLst/>
                          </a:prstGeom>
                          <a:ln w="9525" cap="flat" cmpd="sng">
                            <a:solidFill>
                              <a:srgbClr val="000000"/>
                            </a:solidFill>
                            <a:prstDash val="solid"/>
                            <a:headEnd type="none" w="med" len="med"/>
                            <a:tailEnd type="triangle" w="med" len="med"/>
                          </a:ln>
                        </wps:spPr>
                        <wps:bodyPr/>
                      </wps:wsp>
                      <wps:wsp>
                        <wps:cNvPr id="33" name="直接箭头连接符 33"/>
                        <wps:cNvCnPr/>
                        <wps:spPr>
                          <a:xfrm>
                            <a:off x="0" y="0"/>
                            <a:ext cx="0" cy="0"/>
                          </a:xfrm>
                          <a:prstGeom prst="straightConnector1">
                            <a:avLst/>
                          </a:prstGeom>
                          <a:ln w="9525" cap="flat" cmpd="sng">
                            <a:solidFill>
                              <a:srgbClr val="000000"/>
                            </a:solidFill>
                            <a:prstDash val="solid"/>
                            <a:headEnd type="none" w="med" len="med"/>
                            <a:tailEnd type="triangle" w="med" len="med"/>
                          </a:ln>
                        </wps:spPr>
                        <wps:bodyPr/>
                      </wps:wsp>
                      <wps:wsp>
                        <wps:cNvPr id="34" name="直接箭头连接符 34"/>
                        <wps:cNvCnPr/>
                        <wps:spPr>
                          <a:xfrm>
                            <a:off x="0" y="0"/>
                            <a:ext cx="0" cy="0"/>
                          </a:xfrm>
                          <a:prstGeom prst="straightConnector1">
                            <a:avLst/>
                          </a:prstGeom>
                          <a:ln w="9525" cap="flat" cmpd="sng">
                            <a:solidFill>
                              <a:srgbClr val="000000"/>
                            </a:solidFill>
                            <a:prstDash val="solid"/>
                            <a:headEnd type="none" w="med" len="med"/>
                            <a:tailEnd type="triangle" w="med" len="med"/>
                          </a:ln>
                        </wps:spPr>
                        <wps:bodyPr/>
                      </wps:wsp>
                      <wps:wsp>
                        <wps:cNvPr id="35" name="直接箭头连接符 35"/>
                        <wps:cNvCnPr/>
                        <wps:spPr>
                          <a:xfrm>
                            <a:off x="0" y="0"/>
                            <a:ext cx="0" cy="0"/>
                          </a:xfrm>
                          <a:prstGeom prst="straightConnector1">
                            <a:avLst/>
                          </a:prstGeom>
                          <a:ln w="9525" cap="flat" cmpd="sng">
                            <a:solidFill>
                              <a:srgbClr val="000000"/>
                            </a:solidFill>
                            <a:prstDash val="solid"/>
                            <a:headEnd type="none" w="med" len="med"/>
                            <a:tailEnd type="triangle" w="med" len="med"/>
                          </a:ln>
                        </wps:spPr>
                        <wps:bodyPr/>
                      </wps:wsp>
                      <wps:wsp>
                        <wps:cNvPr id="36" name="直接箭头连接符 36"/>
                        <wps:cNvCnPr/>
                        <wps:spPr>
                          <a:xfrm>
                            <a:off x="0" y="0"/>
                            <a:ext cx="0" cy="0"/>
                          </a:xfrm>
                          <a:prstGeom prst="straightConnector1">
                            <a:avLst/>
                          </a:prstGeom>
                          <a:ln w="9525" cap="flat" cmpd="sng">
                            <a:solidFill>
                              <a:srgbClr val="000000"/>
                            </a:solidFill>
                            <a:prstDash val="solid"/>
                            <a:headEnd type="none" w="med" len="med"/>
                            <a:tailEnd type="triangle" w="med" len="med"/>
                          </a:ln>
                        </wps:spPr>
                        <wps:bodyPr/>
                      </wps:wsp>
                      <wps:wsp>
                        <wps:cNvPr id="37" name="圆角矩形 37"/>
                        <wps:cNvSpPr/>
                        <wps:spPr>
                          <a:xfrm>
                            <a:off x="0" y="0"/>
                            <a:ext cx="0" cy="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400" w:lineRule="exact"/>
                                <w:jc w:val="left"/>
                                <w:rPr>
                                  <w:rFonts w:eastAsia="宋体"/>
                                </w:rPr>
                              </w:pPr>
                              <w:r>
                                <w:rPr>
                                  <w:rFonts w:hint="eastAsia" w:eastAsia="宋体"/>
                                </w:rPr>
                                <w:t>省生态环境厅</w:t>
                              </w:r>
                            </w:p>
                            <w:p>
                              <w:pPr>
                                <w:spacing w:line="400" w:lineRule="exact"/>
                                <w:jc w:val="left"/>
                                <w:rPr>
                                  <w:rFonts w:eastAsia="宋体"/>
                                </w:rPr>
                              </w:pPr>
                              <w:r>
                                <w:rPr>
                                  <w:rFonts w:hint="eastAsia" w:eastAsia="宋体"/>
                                </w:rPr>
                                <w:t>属地政府</w:t>
                              </w:r>
                            </w:p>
                            <w:p>
                              <w:pPr>
                                <w:spacing w:line="400" w:lineRule="exact"/>
                                <w:jc w:val="left"/>
                                <w:rPr>
                                  <w:rFonts w:eastAsia="宋体"/>
                                </w:rPr>
                              </w:pPr>
                              <w:r>
                                <w:rPr>
                                  <w:rFonts w:hint="eastAsia" w:eastAsia="宋体"/>
                                </w:rPr>
                                <w:t>省公安厅</w:t>
                              </w:r>
                            </w:p>
                          </w:txbxContent>
                        </wps:txbx>
                        <wps:bodyPr upright="1"/>
                      </wps:wsp>
                      <wps:wsp>
                        <wps:cNvPr id="38" name="圆角矩形 38"/>
                        <wps:cNvSpPr/>
                        <wps:spPr>
                          <a:xfrm>
                            <a:off x="0" y="0"/>
                            <a:ext cx="0" cy="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400" w:lineRule="exact"/>
                                <w:jc w:val="left"/>
                                <w:rPr>
                                  <w:rFonts w:eastAsia="宋体"/>
                                </w:rPr>
                              </w:pPr>
                              <w:r>
                                <w:rPr>
                                  <w:rFonts w:hint="eastAsia" w:eastAsia="宋体"/>
                                </w:rPr>
                                <w:t>省民政厅</w:t>
                              </w:r>
                            </w:p>
                            <w:p>
                              <w:pPr>
                                <w:spacing w:line="400" w:lineRule="exact"/>
                                <w:jc w:val="left"/>
                                <w:rPr>
                                  <w:rFonts w:eastAsia="宋体"/>
                                </w:rPr>
                              </w:pPr>
                              <w:r>
                                <w:rPr>
                                  <w:rFonts w:hint="eastAsia" w:eastAsia="宋体"/>
                                </w:rPr>
                                <w:t>属地政府</w:t>
                              </w:r>
                            </w:p>
                            <w:p>
                              <w:pPr>
                                <w:spacing w:line="400" w:lineRule="exact"/>
                                <w:jc w:val="left"/>
                                <w:rPr>
                                  <w:rFonts w:eastAsia="宋体"/>
                                </w:rPr>
                              </w:pPr>
                              <w:r>
                                <w:rPr>
                                  <w:rFonts w:hint="eastAsia" w:eastAsia="宋体"/>
                                </w:rPr>
                                <w:t>省生态环境厅</w:t>
                              </w:r>
                            </w:p>
                            <w:p>
                              <w:pPr>
                                <w:spacing w:line="400" w:lineRule="exact"/>
                                <w:jc w:val="left"/>
                                <w:rPr>
                                  <w:rFonts w:eastAsia="宋体"/>
                                </w:rPr>
                              </w:pPr>
                              <w:r>
                                <w:rPr>
                                  <w:rFonts w:hint="eastAsia" w:eastAsia="宋体"/>
                                </w:rPr>
                                <w:t>省发展改革委</w:t>
                              </w:r>
                            </w:p>
                            <w:p>
                              <w:pPr>
                                <w:spacing w:line="400" w:lineRule="exact"/>
                                <w:jc w:val="left"/>
                                <w:rPr>
                                  <w:rFonts w:eastAsia="宋体"/>
                                </w:rPr>
                              </w:pPr>
                              <w:r>
                                <w:rPr>
                                  <w:rFonts w:hint="eastAsia" w:eastAsia="宋体"/>
                                </w:rPr>
                                <w:t>省财政厅</w:t>
                              </w:r>
                            </w:p>
                            <w:p>
                              <w:pPr>
                                <w:spacing w:line="400" w:lineRule="exact"/>
                                <w:jc w:val="left"/>
                                <w:rPr>
                                  <w:rFonts w:eastAsia="宋体"/>
                                </w:rPr>
                              </w:pPr>
                              <w:r>
                                <w:rPr>
                                  <w:rFonts w:hint="eastAsia" w:eastAsia="宋体"/>
                                </w:rPr>
                                <w:t>省农业农村厅</w:t>
                              </w:r>
                            </w:p>
                            <w:p>
                              <w:pPr>
                                <w:spacing w:line="400" w:lineRule="exact"/>
                                <w:jc w:val="left"/>
                                <w:rPr>
                                  <w:rFonts w:eastAsia="宋体"/>
                                </w:rPr>
                              </w:pPr>
                              <w:r>
                                <w:rPr>
                                  <w:rFonts w:hint="eastAsia" w:eastAsia="宋体"/>
                                </w:rPr>
                                <w:t>省卫生健康委</w:t>
                              </w:r>
                            </w:p>
                          </w:txbxContent>
                        </wps:txbx>
                        <wps:bodyPr upright="1"/>
                      </wps:wsp>
                      <wps:wsp>
                        <wps:cNvPr id="39" name="直接箭头连接符 39"/>
                        <wps:cNvCnPr/>
                        <wps:spPr>
                          <a:xfrm>
                            <a:off x="0" y="0"/>
                            <a:ext cx="0" cy="0"/>
                          </a:xfrm>
                          <a:prstGeom prst="straightConnector1">
                            <a:avLst/>
                          </a:prstGeom>
                          <a:ln w="9525" cap="flat" cmpd="sng">
                            <a:solidFill>
                              <a:srgbClr val="000000"/>
                            </a:solidFill>
                            <a:prstDash val="solid"/>
                            <a:headEnd type="none" w="med" len="med"/>
                            <a:tailEnd type="triangle" w="med" len="med"/>
                          </a:ln>
                        </wps:spPr>
                        <wps:bodyPr/>
                      </wps:wsp>
                      <wps:wsp>
                        <wps:cNvPr id="40" name="圆角矩形 40"/>
                        <wps:cNvSpPr/>
                        <wps:spPr>
                          <a:xfrm>
                            <a:off x="0" y="0"/>
                            <a:ext cx="0" cy="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400" w:lineRule="exact"/>
                                <w:jc w:val="left"/>
                                <w:rPr>
                                  <w:rFonts w:eastAsia="宋体"/>
                                </w:rPr>
                              </w:pPr>
                              <w:r>
                                <w:rPr>
                                  <w:rFonts w:hint="eastAsia" w:eastAsia="宋体"/>
                                </w:rPr>
                                <w:t>省应急厅省委宣传部</w:t>
                              </w:r>
                            </w:p>
                            <w:p>
                              <w:pPr>
                                <w:spacing w:line="400" w:lineRule="exact"/>
                                <w:jc w:val="left"/>
                                <w:rPr>
                                  <w:rFonts w:eastAsia="宋体"/>
                                </w:rPr>
                              </w:pPr>
                              <w:r>
                                <w:rPr>
                                  <w:rFonts w:hint="eastAsia" w:eastAsia="宋体"/>
                                </w:rPr>
                                <w:t>属地政府</w:t>
                              </w:r>
                            </w:p>
                            <w:p>
                              <w:pPr>
                                <w:spacing w:line="400" w:lineRule="exact"/>
                                <w:jc w:val="left"/>
                                <w:rPr>
                                  <w:rFonts w:eastAsia="宋体"/>
                                </w:rPr>
                              </w:pPr>
                              <w:r>
                                <w:rPr>
                                  <w:rFonts w:hint="eastAsia" w:eastAsia="宋体"/>
                                </w:rPr>
                                <w:t>省广播电视局</w:t>
                              </w:r>
                            </w:p>
                            <w:p>
                              <w:pPr>
                                <w:spacing w:line="400" w:lineRule="exact"/>
                                <w:jc w:val="left"/>
                                <w:rPr>
                                  <w:rFonts w:eastAsia="宋体"/>
                                </w:rPr>
                              </w:pPr>
                              <w:r>
                                <w:rPr>
                                  <w:rFonts w:hint="eastAsia" w:eastAsia="宋体"/>
                                </w:rPr>
                                <w:t>省地震局</w:t>
                              </w:r>
                            </w:p>
                          </w:txbxContent>
                        </wps:txbx>
                        <wps:bodyPr upright="1"/>
                      </wps:wsp>
                      <wps:wsp>
                        <wps:cNvPr id="41" name="直接箭头连接符 41"/>
                        <wps:cNvCnPr/>
                        <wps:spPr>
                          <a:xfrm>
                            <a:off x="0" y="0"/>
                            <a:ext cx="0" cy="0"/>
                          </a:xfrm>
                          <a:prstGeom prst="straightConnector1">
                            <a:avLst/>
                          </a:prstGeom>
                          <a:ln w="9525" cap="flat" cmpd="sng">
                            <a:solidFill>
                              <a:srgbClr val="000000"/>
                            </a:solidFill>
                            <a:prstDash val="solid"/>
                            <a:headEnd type="none" w="med" len="med"/>
                            <a:tailEnd type="triangle" w="med" len="med"/>
                          </a:ln>
                        </wps:spPr>
                        <wps:bodyPr/>
                      </wps:wsp>
                      <wps:wsp>
                        <wps:cNvPr id="42" name="直接箭头连接符 42"/>
                        <wps:cNvCnPr/>
                        <wps:spPr>
                          <a:xfrm>
                            <a:off x="0" y="0"/>
                            <a:ext cx="0" cy="0"/>
                          </a:xfrm>
                          <a:prstGeom prst="straightConnector1">
                            <a:avLst/>
                          </a:prstGeom>
                          <a:ln w="9525" cap="flat" cmpd="sng">
                            <a:solidFill>
                              <a:srgbClr val="000000"/>
                            </a:solidFill>
                            <a:prstDash val="solid"/>
                            <a:headEnd type="none" w="med" len="med"/>
                            <a:tailEnd type="triangle" w="med" len="med"/>
                          </a:ln>
                        </wps:spPr>
                        <wps:bodyPr/>
                      </wps:wsp>
                      <wps:wsp>
                        <wps:cNvPr id="43" name="直接箭头连接符 43"/>
                        <wps:cNvCnPr/>
                        <wps:spPr>
                          <a:xfrm>
                            <a:off x="0" y="0"/>
                            <a:ext cx="0" cy="0"/>
                          </a:xfrm>
                          <a:prstGeom prst="straightConnector1">
                            <a:avLst/>
                          </a:prstGeom>
                          <a:ln w="9525" cap="flat" cmpd="sng">
                            <a:solidFill>
                              <a:srgbClr val="000000"/>
                            </a:solidFill>
                            <a:prstDash val="solid"/>
                            <a:headEnd type="none" w="med" len="med"/>
                            <a:tailEnd type="triangle" w="med" len="med"/>
                          </a:ln>
                        </wps:spPr>
                        <wps:bodyPr/>
                      </wps:wsp>
                      <wps:wsp>
                        <wps:cNvPr id="44" name="直接箭头连接符 44"/>
                        <wps:cNvCnPr/>
                        <wps:spPr>
                          <a:xfrm>
                            <a:off x="0" y="0"/>
                            <a:ext cx="0" cy="0"/>
                          </a:xfrm>
                          <a:prstGeom prst="straightConnector1">
                            <a:avLst/>
                          </a:prstGeom>
                          <a:ln w="9525" cap="flat" cmpd="sng">
                            <a:solidFill>
                              <a:srgbClr val="000000"/>
                            </a:solidFill>
                            <a:prstDash val="solid"/>
                            <a:headEnd type="none" w="med" len="med"/>
                            <a:tailEnd type="triangle" w="med" len="med"/>
                          </a:ln>
                        </wps:spPr>
                        <wps:bodyPr/>
                      </wps:wsp>
                      <wps:wsp>
                        <wps:cNvPr id="45" name="直接箭头连接符 45"/>
                        <wps:cNvCnPr/>
                        <wps:spPr>
                          <a:xfrm>
                            <a:off x="0" y="0"/>
                            <a:ext cx="0" cy="0"/>
                          </a:xfrm>
                          <a:prstGeom prst="straightConnector1">
                            <a:avLst/>
                          </a:prstGeom>
                          <a:ln w="9525" cap="flat" cmpd="sng">
                            <a:solidFill>
                              <a:srgbClr val="000000"/>
                            </a:solidFill>
                            <a:prstDash val="solid"/>
                            <a:headEnd type="none" w="med" len="med"/>
                            <a:tailEnd type="triangle" w="med" len="med"/>
                          </a:ln>
                        </wps:spPr>
                        <wps:bodyPr/>
                      </wps:wsp>
                      <wps:wsp>
                        <wps:cNvPr id="46" name="直接箭头连接符 46"/>
                        <wps:cNvCnPr/>
                        <wps:spPr>
                          <a:xfrm>
                            <a:off x="0" y="0"/>
                            <a:ext cx="0" cy="0"/>
                          </a:xfrm>
                          <a:prstGeom prst="straightConnector1">
                            <a:avLst/>
                          </a:prstGeom>
                          <a:ln w="9525" cap="flat" cmpd="sng">
                            <a:solidFill>
                              <a:srgbClr val="000000"/>
                            </a:solidFill>
                            <a:prstDash val="solid"/>
                            <a:headEnd type="none" w="med" len="med"/>
                            <a:tailEnd type="triangle" w="med" len="med"/>
                          </a:ln>
                        </wps:spPr>
                        <wps:bodyPr/>
                      </wps:wsp>
                      <wps:wsp>
                        <wps:cNvPr id="47" name="直接箭头连接符 47"/>
                        <wps:cNvCnPr/>
                        <wps:spPr>
                          <a:xfrm>
                            <a:off x="0" y="0"/>
                            <a:ext cx="0" cy="0"/>
                          </a:xfrm>
                          <a:prstGeom prst="straightConnector1">
                            <a:avLst/>
                          </a:prstGeom>
                          <a:ln w="9525" cap="flat" cmpd="sng">
                            <a:solidFill>
                              <a:srgbClr val="000000"/>
                            </a:solidFill>
                            <a:prstDash val="solid"/>
                            <a:headEnd type="none" w="med" len="med"/>
                            <a:tailEnd type="triangle" w="med" len="med"/>
                          </a:ln>
                        </wps:spPr>
                        <wps:bodyPr/>
                      </wps:wsp>
                      <wps:wsp>
                        <wps:cNvPr id="48" name="直接箭头连接符 48"/>
                        <wps:cNvCnPr/>
                        <wps:spPr>
                          <a:xfrm>
                            <a:off x="0" y="0"/>
                            <a:ext cx="0" cy="0"/>
                          </a:xfrm>
                          <a:prstGeom prst="straightConnector1">
                            <a:avLst/>
                          </a:prstGeom>
                          <a:ln w="9525" cap="flat" cmpd="sng">
                            <a:solidFill>
                              <a:srgbClr val="000000"/>
                            </a:solidFill>
                            <a:prstDash val="solid"/>
                            <a:headEnd type="none" w="med" len="med"/>
                            <a:tailEnd type="triangle" w="med" len="med"/>
                          </a:ln>
                        </wps:spPr>
                        <wps:bodyPr/>
                      </wps:wsp>
                      <wps:wsp>
                        <wps:cNvPr id="49" name="直接箭头连接符 49"/>
                        <wps:cNvCnPr/>
                        <wps:spPr>
                          <a:xfrm>
                            <a:off x="0" y="0"/>
                            <a:ext cx="0" cy="0"/>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41.85pt;margin-top:32.3pt;height:481.05pt;width:1108pt;z-index:251659264;mso-width-relative:page;mso-height-relative:page;" coordorigin="947,2215" coordsize="22160,9060" o:gfxdata="UEsDBAoAAAAAAIdO4kAAAAAAAAAAAAAAAAAEAAAAZHJzL1BLAwQUAAAACACHTuJAyjc5WdwAAAAM&#10;AQAADwAAAGRycy9kb3ducmV2LnhtbE2PwWrDMBBE74X+g9hCb4kku3WCYzmU0PYUCk0KJbeNtbFN&#10;LMlYip38fdVTe1zmMfO2WF9Nx0YafOusAjkXwMhWTre2VvC1f5stgfmAVmPnLCm4kYd1eX9XYK7d&#10;ZD9p3IWaxRLrc1TQhNDnnPuqIYN+7nqyMTu5wWCI51BzPeAUy03HEyEybrC1caHBnjYNVefdxSh4&#10;n3B6SeXruD2fNrfD/vnjeytJqccHKVbAAl3DHwy/+lEdyuh0dBerPesUzJbpIqIKsqcMWAQSmSYp&#10;sGNERZItgJcF//9E+QNQSwMEFAAAAAgAh07iQEp/6B+fBQAAtGYAAA4AAABkcnMvZTJvRG9jLnht&#10;bO1dzW7rRBTeI/EOlvc0seOmN1bTu2hvu0FwxYUHmNrjH+Q/zbhNukeIFUJsQSAhfoQErO4OIZ6m&#10;9D4GZ8bOxA72TWmdKHVOFul4Zjz2nPnmmzOfT+Pj5/M40q4p42GaTHXjYKhrNHFSN0z8qf7Jx+fv&#10;PdM1npPEJVGa0Kl+Q7n+/OTdd45nmU3NNEgjlzINGkm4PcumepDnmT0YcCegMeEHaUYTKPRSFpMc&#10;Dpk/cBmZQetxNDCHw/FgljI3Y6lDOYfcs6JQL1tk92kw9bzQoWepcxXTJC9aZTQiOXSJB2HG9RN5&#10;t55HnfxDz+M016KpDj3N5TdcBNKX4ntwckxsn5EsCJ3yFsh9bmGlTzEJE7ioauqM5ES7YuF/mopD&#10;h6U89fIDJ40HRUekRaAXxnDFNhcsvcpkX3x75mfK6DBQK1Z/cLPOB9cvmRa6U/0QTJKQGEb87s/P&#10;br/6QoMMsM4s822odMGyV9lLVmb4xZHo8NxjsfgLXdHm0q43yq50nmsOZBrW8MgYD+ECDhSOjeFk&#10;NDosTO8EMD7ixIl1pGtQapqGKnpRng954/LkyRBScBeDxZUH4gbV/cwyACVfWoo/zlKvApJROQBc&#10;GKG0lLEw1O23n7/55eu773+9/esHzSisJSsqU3Gbg9Xua6eyj/UOEjtjPL+gaayJxFQHUCTuR4Bs&#10;CThy/T7PJfLccviI+6mueXEEOL4mkWaMx+Oj0mRlZTDeok1xJk+j0D0Po0geMP/yNGIanDrVz+Wn&#10;PLlWLUpE5SQVpxXDIXJgMBY9Fql8fjmXiOH2ZeregPmuMhb6AXRCWktWh+ESKNvCuJmN42biuO34&#10;uI0W41bOtNHWRqw2yQqYP37iaDOAv3kk6ZDAAurBwgXMGGdAwjzx5ayuzTVenZJD+WmakuLOzggP&#10;iqkb+SIt6hE7DnPKZCqgxH2RuFp+kwHRJ7DA6+J2YurqWkTBHxApWTMnYXSfmsAlDTN/F6a7tQIb&#10;S3RMEA0w+WYJGmGzFmC7C5vDBWxqq7v0SbYCnt1Y3QUrTA5NMIazOY6SLFfQzbaIacdckvECbHff&#10;vP7ny5/u/vj99sfXb/7+TqR/+1kbVyjrNCnd74WHtfCA3+5738+n5DkjwjE7TZME2CtlxtK5BNZc&#10;cRij5KnAI2chSfyoZZV7GwmJXpde6ZbcU9j/lPuvRixIH75kIMTC1nyY7eMA9JcCB7UF6FmFCjbr&#10;veACtEnPeMcWoEkj2CYItu53ZOjtGOCMNFAbZG9rZ4bctkfcZrQItfum1D4VZ71djmp21HdsKTWa&#10;9WXIRnbrXN7ExdRQsnhtnwDZCDeEW/2h/P96PNzy0FPJ6XW4bU9VR99tn3y3Zhm+iA1AHb7bZ4W4&#10;mBpKiK+zW1WAR9Wto0fTCDdDaf11uFU1foQbwk0EVHbhuzWrvAbKvBsIvEF2M5t3ppCNO1PcmXa+&#10;MzWbd6aQjXBDuHUPt+adKYRKIdwQbt3DrXlnauLOFH23R/0XULPMazbvTCEb2Q3ZrXt2U8FuzQGw&#10;ZjXsDaMeHxD1+JQiYE2lU7SgoSpYIBp6joaRihZrRgOUL9ckREPf0aCCuVrQUI3qQjT0HQ0q1qoF&#10;DdWgK0RD39GgBOcWNFSVZ0RD39Gg9OAWNFSFYURD39Gg5NoWNFR1W0RD39Gg1NQWNFRlVURD39HQ&#10;LHaOUOxEbX0D2vpIiZ21qC/IXuoYGPWFUV8dRX2N1qipUL7EHa51PV/rLKWm1sgHspcgQPJB8umI&#10;fKw1ci2UL3GH5NN38lkj11oo17piPhD7ob+D9ZQe81pr5FooR27YHzSskWstlGv3iRvWyLUWyrX7&#10;hIY1cq2Fcu0+oUHJtc3iPfyCPPoN++M3KDW1BQ1VWRV3mH3fYa4ROy0UO3djpZDv64CXmcgfFS5f&#10;vCLellI9lj+9u3zZzM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FAgAAFtDb250ZW50X1R5cGVzXS54bWxQSwECFAAKAAAAAACHTuJAAAAAAAAA&#10;AAAAAAAABgAAAAAAAAAAABAAAAD2BgAAX3JlbHMvUEsBAhQAFAAAAAgAh07iQIoUZjzRAAAAlAEA&#10;AAsAAAAAAAAAAQAgAAAAGgcAAF9yZWxzLy5yZWxzUEsBAhQACgAAAAAAh07iQAAAAAAAAAAAAAAA&#10;AAQAAAAAAAAAAAAQAAAAAAAAAGRycy9QSwECFAAUAAAACACHTuJAyjc5WdwAAAAMAQAADwAAAAAA&#10;AAABACAAAAAiAAAAZHJzL2Rvd25yZXYueG1sUEsBAhQAFAAAAAgAh07iQEp/6B+fBQAAtGYAAA4A&#10;AAAAAAAAAQAgAAAAKwEAAGRycy9lMm9Eb2MueG1sUEsFBgAAAAAGAAYAWQEAADwJAAAAAA==&#10;">
                <o:lock v:ext="edit" aspectratio="f"/>
                <v:roundrect id="_x0000_s1026" o:spid="_x0000_s1026" o:spt="2" style="position:absolute;left:0;top:0;height:0;width:0;" fillcolor="#FFFFFF" filled="t" stroked="f" coordsize="21600,21600" arcsize="0.166666666666667" o:gfxdata="UEsDBAoAAAAAAIdO4kAAAAAAAAAAAAAAAAAEAAAAZHJzL1BLAwQUAAAACACHTuJAyCn46bcAAADa&#10;AAAADwAAAGRycy9kb3ducmV2LnhtbEVPTYvCMBC9L/gfwgje1tQVxK1GD4LgbWnV+9jMtsVmUpJs&#10;m/77jbCwp+HxPmd/jKYTAznfWlawWmYgiCurW64V3K7n9y0IH5A1dpZJwUQejofZ2x5zbUcuaChD&#10;LVII+xwVNCH0uZS+asigX9qeOHHf1hkMCbpaaodjCjed/MiyjTTYcmposKdTQ9Wz/DEK7nYYP+Pa&#10;Xqby6zEVbh2L6hGVWsxX2Q5EoBj+xX/ui07z4fXK68rD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Kfjp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rFonts w:eastAsia="宋体"/>
                            <w:b/>
                            <w:sz w:val="24"/>
                          </w:rPr>
                        </w:pPr>
                        <w:r>
                          <w:rPr>
                            <w:rFonts w:hint="eastAsia" w:eastAsia="宋体"/>
                            <w:b/>
                            <w:sz w:val="24"/>
                          </w:rPr>
                          <w:t>应急工作组</w:t>
                        </w:r>
                      </w:p>
                    </w:txbxContent>
                  </v:textbox>
                </v:roundrect>
                <v:roundrect id="_x0000_s1026" o:spid="_x0000_s1026" o:spt="2" style="position:absolute;left:0;top:0;height:0;width:0;" fillcolor="#FFFFFF" filled="t" stroked="f" coordsize="21600,21600" arcsize="0.166666666666667" o:gfxdata="UEsDBAoAAAAAAIdO4kAAAAAAAAAAAAAAAAAEAAAAZHJzL1BLAwQUAAAACACHTuJAOPtmnroAAADa&#10;AAAADwAAAGRycy9kb3ducmV2LnhtbEWPQYvCMBSE7wv+h/AEb2uqwuJWowdB8La0rvdn87YtNi8l&#10;ybbpvzfCwh6HmfmG2R+j6cRAzreWFayWGQjiyuqWawXf1/P7FoQPyBo7y6RgIg/Hw+xtj7m2Ixc0&#10;lKEWCcI+RwVNCH0upa8aMuiXtidO3o91BkOSrpba4ZjgppPrLPuQBltOCw32dGqoepS/RsHNDuNn&#10;3NjLVH7dp8JtYlHdo1KL+SrbgQgUw3/4r33RCtbwupJugDw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4+2aeugAAANoA&#10;AAAPAAAAAAAAAAEAIAAAACIAAABkcnMvZG93bnJldi54bWxQSwECFAAUAAAACACHTuJAMy8FnjsA&#10;AAA5AAAAEAAAAAAAAAABACAAAAAJAQAAZHJzL3NoYXBleG1sLnhtbFBLBQYAAAAABgAGAFsBAACz&#10;AwAAAAA=&#10;">
                  <v:fill on="t" focussize="0,0"/>
                  <v:stroke on="f"/>
                  <v:imagedata o:title=""/>
                  <o:lock v:ext="edit" aspectratio="f"/>
                  <v:textbox>
                    <w:txbxContent>
                      <w:p>
                        <w:pPr>
                          <w:rPr>
                            <w:rFonts w:eastAsia="宋体"/>
                            <w:b/>
                            <w:sz w:val="24"/>
                          </w:rPr>
                        </w:pPr>
                        <w:r>
                          <w:rPr>
                            <w:rFonts w:hint="eastAsia" w:eastAsia="宋体"/>
                            <w:b/>
                            <w:sz w:val="24"/>
                          </w:rPr>
                          <w:t>成员单位</w:t>
                        </w:r>
                      </w:p>
                    </w:txbxContent>
                  </v:textbox>
                </v:roundrect>
                <v:rect id="_x0000_s1026" o:spid="_x0000_s1026" o:spt="1" style="position:absolute;left:0;top:0;height:0;width:0;" fillcolor="#FFFFFF" filled="t" stroked="t" coordsize="21600,21600" o:gfxdata="UEsDBAoAAAAAAIdO4kAAAAAAAAAAAAAAAAAEAAAAZHJzL1BLAwQUAAAACACHTuJA5V514LsAAADa&#10;AAAADwAAAGRycy9kb3ducmV2LnhtbEWPT4vCMBTE7wt+h/AEb9vUCotUoyyKIHjyT/H6aN623W1e&#10;ShKt+unNguBxmJnfMPPlzbTiSs43lhWMkxQEcWl1w5WC03HzOQXhA7LG1jIpuJOH5WLwMcdc2573&#10;dD2ESkQI+xwV1CF0uZS+rMmgT2xHHL0f6wyGKF0ltcM+wk0rszT9kgYbjgs1drSqqfw7XIyCb7f7&#10;LXyw2UMjrYtjMcn61Vmp0XCczkAEuoV3+NXeagUT+L8Sb4B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V514LsAAADa&#10;AAAADwAAAAAAAAABACAAAAAiAAAAZHJzL2Rvd25yZXYueG1sUEsBAhQAFAAAAAgAh07iQDMvBZ47&#10;AAAAOQAAABAAAAAAAAAAAQAgAAAACgEAAGRycy9zaGFwZXhtbC54bWxQSwUGAAAAAAYABgBbAQAA&#10;tAMAAAAA&#10;">
                  <v:fill on="t" focussize="0,0"/>
                  <v:stroke weight="1pt" color="#000000" joinstyle="miter" dashstyle="longDash"/>
                  <v:imagedata o:title=""/>
                  <o:lock v:ext="edit" aspectratio="f"/>
                </v:rect>
                <v:rect id="_x0000_s1026" o:spid="_x0000_s1026" o:spt="1" style="position:absolute;left:0;top:0;height:0;width:0;" fillcolor="#FFFFFF" filled="t" stroked="t" coordsize="21600,21600" o:gfxdata="UEsDBAoAAAAAAIdO4kAAAAAAAAAAAAAAAAAEAAAAZHJzL1BLAwQUAAAACACHTuJAarftlLwAAADa&#10;AAAADwAAAGRycy9kb3ducmV2LnhtbEWPQWvCQBSE74L/YXlCb2ZjKqXErFKUQsGTSYPXR/Y1SZt9&#10;G3ZXo/313UKhx2FmvmGK3c0M4krO95YVrJIUBHFjdc+tgvfqdfkMwgdkjYNlUnAnD7vtfFZgru3E&#10;J7qWoRURwj5HBV0IYy6lbzoy6BM7EkfvwzqDIUrXSu1winAzyCxNn6TBnuNChyPtO2q+yotR8OKO&#10;n7UPNvvWSIe6qh+zaX9W6mGxSjcgAt3Cf/iv/aYVrOH3SrwB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q37ZS8AAAA&#10;2gAAAA8AAAAAAAAAAQAgAAAAIgAAAGRycy9kb3ducmV2LnhtbFBLAQIUABQAAAAIAIdO4kAzLwWe&#10;OwAAADkAAAAQAAAAAAAAAAEAIAAAAAsBAABkcnMvc2hhcGV4bWwueG1sUEsFBgAAAAAGAAYAWwEA&#10;ALUDAAAAAA==&#10;">
                  <v:fill on="t" focussize="0,0"/>
                  <v:stroke weight="1pt" color="#000000" joinstyle="miter" dashstyle="longDash"/>
                  <v:imagedata o:title=""/>
                  <o:lock v:ext="edit" aspectratio="f"/>
                </v:rect>
                <v:roundrect id="_x0000_s1026" o:spid="_x0000_s1026" o:spt="2" style="position:absolute;left:0;top:0;height:0;width:0;" fillcolor="#FFFFFF" filled="t" stroked="t" coordsize="21600,21600" arcsize="0.166666666666667" o:gfxdata="UEsDBAoAAAAAAIdO4kAAAAAAAAAAAAAAAAAEAAAAZHJzL1BLAwQUAAAACACHTuJAcUzQpbwAAADa&#10;AAAADwAAAGRycy9kb3ducmV2LnhtbEWPzW7CMBCE70h9B2srcSM2SFQlxXCoVNRbReiB4zZekoh4&#10;HWwn/Dx9jYTEcTQz32iW64ttxUA+NI41TDMFgrh0puFKw+/ua/IOIkRkg61j0nClAOvVy2iJuXFn&#10;3tJQxEokCIccNdQxdrmUoazJYshcR5y8g/MWY5K+ksbjOcFtK2dKvUmLDaeFGjv6rKk8Fr3VUBrV&#10;K78ffhZ/81jchv7EcnPSevw6VR8gIl3iM/xofxsNc7hfSTd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M0KW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400" w:lineRule="exact"/>
                          <w:jc w:val="center"/>
                          <w:rPr>
                            <w:rFonts w:eastAsia="宋体"/>
                            <w:b/>
                          </w:rPr>
                        </w:pPr>
                        <w:r>
                          <w:rPr>
                            <w:rFonts w:hint="eastAsia" w:eastAsia="宋体"/>
                            <w:b/>
                          </w:rPr>
                          <w:t>突发环境事件现场应急指挥部</w:t>
                        </w:r>
                      </w:p>
                    </w:txbxContent>
                  </v:textbox>
                </v:roundrect>
                <v:shape id="_x0000_s1026" o:spid="_x0000_s1026" o:spt="32" type="#_x0000_t32" style="position:absolute;left:0;top:0;height:0;width:0;" filled="f" stroked="t" coordsize="21600,21600" o:gfxdata="UEsDBAoAAAAAAIdO4kAAAAAAAAAAAAAAAAAEAAAAZHJzL1BLAwQUAAAACACHTuJAx+dFobwAAADa&#10;AAAADwAAAGRycy9kb3ducmV2LnhtbEWPT2sCMRTE74V+h/AKvdWsHha7GgUrpXtR0JXS42Pz3AQ3&#10;L8sm/v30RhB6HGbmN8x0fnGtOFEfrGcFw0EGgrj22nKjYFd9f4xBhIissfVMCq4UYD57fZliof2Z&#10;N3TaxkYkCIcCFZgYu0LKUBtyGAa+I07e3vcOY5J9I3WP5wR3rRxlWS4dWk4LBjv6MlQftkenIC7/&#10;rib/rRefdl39rHJ7K8tyqdT72zCbgIh0if/hZ7vUCnJ4XEk3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nRaG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0;top:0;height:0;width:0;" filled="f" stroked="t" coordsize="21600,21600" o:gfxdata="UEsDBAoAAAAAAIdO4kAAAAAAAAAAAAAAAAAEAAAAZHJzL1BLAwQUAAAACACHTuJAKU6Xur0AAADa&#10;AAAADwAAAGRycy9kb3ducmV2LnhtbEWPQWvCQBSE70L/w/IKvUjdjVC1qWsQoVCPNYLXR/Y1SZt9&#10;G7Ibk+bXu4WCx2FmvmG22WgbcaXO1441JAsFgrhwpuZSwzl/f96A8AHZYOOYNPySh2z3MNtiatzA&#10;n3Q9hVJECPsUNVQhtKmUvqjIol+4ljh6X66zGKLsSmk6HCLcNnKp1EparDkuVNjSoaLi59RbDeT7&#10;l0TtX215Pk7D/LKcvoc21/rpMVFvIAKN4R7+b38YDWv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Tpe6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roundrect id="_x0000_s1026" o:spid="_x0000_s1026" o:spt="2" style="position:absolute;left:0;top:0;height:0;width:0;" fillcolor="#FFFFFF" filled="t" stroked="t" coordsize="21600,21600" arcsize="0.166666666666667" o:gfxdata="UEsDBAoAAAAAAIdO4kAAAAAAAAAAAAAAAAAEAAAAZHJzL1BLAwQUAAAACACHTuJAn01/O7gAAADa&#10;AAAADwAAAGRycy9kb3ducmV2LnhtbEVPu27CMBTdK/EP1q3EBjZIIAgYhkogNkTagfES3yZR4+tg&#10;O+Hx9XhA6nh03uvt3TaiJx9qxxomYwWCuHCm5lLDz/dutAARIrLBxjFpeFCA7WbwscbMuBufqM9j&#10;KVIIhww1VDG2mZShqMhiGLuWOHG/zluMCfpSGo+3FG4bOVVqLi3WnBoqbOmrouIv76yGwqhO+XN/&#10;XF5mMX/23ZXl/qr18HOiViAi3eO/+O0+GA1pa7qSboDcv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01/O7gAAADaAAAA&#10;DwAAAAAAAAABACAAAAAiAAAAZHJzL2Rvd25yZXYueG1sUEsBAhQAFAAAAAgAh07iQDMvBZ47AAAA&#10;OQAAABAAAAAAAAAAAQAgAAAABwEAAGRycy9zaGFwZXhtbC54bWxQSwUGAAAAAAYABgBbAQAAsQMA&#10;AAAA&#10;">
                  <v:fill on="t" focussize="0,0"/>
                  <v:stroke color="#000000" joinstyle="round"/>
                  <v:imagedata o:title=""/>
                  <o:lock v:ext="edit" aspectratio="f"/>
                  <v:textbox>
                    <w:txbxContent>
                      <w:p>
                        <w:pPr>
                          <w:jc w:val="center"/>
                          <w:rPr>
                            <w:rFonts w:eastAsia="宋体"/>
                          </w:rPr>
                        </w:pPr>
                        <w:r>
                          <w:rPr>
                            <w:rFonts w:hint="eastAsia" w:eastAsia="宋体"/>
                          </w:rPr>
                          <w:t>综合协调组</w:t>
                        </w:r>
                      </w:p>
                    </w:txbxContent>
                  </v:textbox>
                </v:roundrect>
                <v:roundrect id="_x0000_s1026" o:spid="_x0000_s1026" o:spt="2" style="position:absolute;left:0;top:0;height:0;width:0;" fillcolor="#FFFFFF" filled="t" stroked="t" coordsize="21600,21600" arcsize="0.166666666666667" o:gfxdata="UEsDBAoAAAAAAIdO4kAAAAAAAAAAAAAAAAAEAAAAZHJzL1BLAwQUAAAACACHTuJA8AHaoLsAAADa&#10;AAAADwAAAGRycy9kb3ducmV2LnhtbEWPQWsCMRSE70L/Q3iF3jRRsHS3Rg9Cizdx7cHjc/O6u7h5&#10;WZPsav31jSB4HGbmG2axutpWDORD41jDdKJAEJfONFxp+Nl/jT9AhIhssHVMGv4owGr5MlpgbtyF&#10;dzQUsRIJwiFHDXWMXS5lKGuyGCauI07er/MWY5K+ksbjJcFtK2dKvUuLDaeFGjta11Seit5qKI3q&#10;lT8M2+w4j8Vt6M8sv89av71O1SeISNf4DD/aG6Mhg/uVdAPk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AHaoL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jc w:val="center"/>
                          <w:rPr>
                            <w:rFonts w:eastAsia="宋体"/>
                          </w:rPr>
                        </w:pPr>
                        <w:r>
                          <w:rPr>
                            <w:rFonts w:hint="eastAsia" w:eastAsia="宋体"/>
                          </w:rPr>
                          <w:t>应急处置组</w:t>
                        </w:r>
                      </w:p>
                    </w:txbxContent>
                  </v:textbox>
                </v:roundrect>
                <v:roundrect id="_x0000_s1026" o:spid="_x0000_s1026" o:spt="2" style="position:absolute;left:0;top:0;height:0;width:0;" fillcolor="#FFFFFF" filled="t" stroked="t" coordsize="21600,21600" arcsize="0.166666666666667" o:gfxdata="UEsDBAoAAAAAAIdO4kAAAAAAAAAAAAAAAAAEAAAAZHJzL1BLAwQUAAAACACHTuJAw2MlZbwAAADb&#10;AAAADwAAAGRycy9kb3ducmV2LnhtbEWPQW/CMAyF75P4D5EncRsJSKCtEDhMAnFD63bY0TReW61x&#10;SpIWtl8/H5B2s/We3/u82d18p0aKqQ1sYT4zoIir4FquLXy875+eQaWM7LALTBZ+KMFuO3nYYOHC&#10;ld9oLHOtJIRTgRaanPtC61Q15DHNQk8s2leIHrOssdYu4lXCfacXxqy0x5alocGeXhuqvsvBW6ic&#10;GUz8HE8v52Uuf8fhwvpwsXb6ODdrUJlu+d98vz46wRd6+UUG0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jJWW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rFonts w:hint="eastAsia" w:eastAsia="宋体"/>
                            <w:lang w:eastAsia="zh-CN"/>
                          </w:rPr>
                        </w:pPr>
                        <w:r>
                          <w:rPr>
                            <w:rFonts w:hint="eastAsia" w:eastAsia="宋体"/>
                            <w:lang w:eastAsia="zh-CN"/>
                          </w:rPr>
                          <w:t>专家技术组</w:t>
                        </w:r>
                      </w:p>
                    </w:txbxContent>
                  </v:textbox>
                </v:roundrect>
                <v:roundrect id="_x0000_s1026" o:spid="_x0000_s1026" o:spt="2" style="position:absolute;left:0;top:0;height:0;width:0;" fillcolor="#FFFFFF" filled="t" stroked="t" coordsize="21600,21600" arcsize="0.166666666666667" o:gfxdata="UEsDBAoAAAAAAIdO4kAAAAAAAAAAAAAAAAAEAAAAZHJzL1BLAwQUAAAACACHTuJArC+A/roAAADb&#10;AAAADwAAAGRycy9kb3ducmV2LnhtbEVPPW/CMBDdkfofrKvUDewgFdGAYUBqxVY1MDBe4yOJiM/B&#10;dgLtr8dISGz39D5vub7aVgzkQ+NYQzZRIIhLZxquNOx3n+M5iBCRDbaOScMfBVivXkZLzI278A8N&#10;RaxECuGQo4Y6xi6XMpQ1WQwT1xEn7ui8xZigr6TxeEnhtpVTpWbSYsOpocaONjWVp6K3GkqjeuUP&#10;w/fH73ss/of+zPLrrPXba6YWICJd41P8cG9Nmp/B/Zd0gFzd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L4D+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jc w:val="center"/>
                          <w:rPr>
                            <w:rFonts w:hint="eastAsia" w:eastAsia="宋体"/>
                            <w:lang w:eastAsia="zh-CN"/>
                          </w:rPr>
                        </w:pPr>
                        <w:r>
                          <w:rPr>
                            <w:rFonts w:hint="eastAsia" w:eastAsia="宋体"/>
                            <w:lang w:eastAsia="zh-CN"/>
                          </w:rPr>
                          <w:t>监测预警组</w:t>
                        </w:r>
                      </w:p>
                    </w:txbxContent>
                  </v:textbox>
                </v:roundrect>
                <v:roundrect id="_x0000_s1026" o:spid="_x0000_s1026" o:spt="2" style="position:absolute;left:0;top:0;height:0;width:0;" fillcolor="#FFFFFF" filled="t" stroked="t" coordsize="21600,21600" arcsize="0.166666666666667" o:gfxdata="UEsDBAoAAAAAAIdO4kAAAAAAAAAAAAAAAAAEAAAAZHJzL1BLAwQUAAAACACHTuJAXP0eiboAAADb&#10;AAAADwAAAGRycy9kb3ducmV2LnhtbEVPO2/CMBDekfofrKvERmyQqNoUw1CpiA0ROnS8xkcSEZ+D&#10;7YTHr6+RkNju0/e8xepiWzGQD41jDdNMgSAunWm40vCz/568gwgR2WDrmDRcKcBq+TJaYG7cmXc0&#10;FLESKYRDjhrqGLtcylDWZDFkriNO3MF5izFBX0nj8ZzCbStnSr1Jiw2nhho7+qqpPBa91VAa1Sv/&#10;O2w//uaxuA39ieX6pPX4dao+QUS6xKf44d6YNH8G91/SAXL5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R6J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jc w:val="center"/>
                          <w:rPr>
                            <w:rFonts w:hint="eastAsia" w:eastAsia="宋体"/>
                            <w:lang w:eastAsia="zh-CN"/>
                          </w:rPr>
                        </w:pPr>
                        <w:r>
                          <w:rPr>
                            <w:rFonts w:hint="eastAsia"/>
                            <w:lang w:eastAsia="zh-CN"/>
                          </w:rPr>
                          <w:t>医学救援组</w:t>
                        </w:r>
                      </w:p>
                    </w:txbxContent>
                  </v:textbox>
                </v:roundrect>
                <v:roundrect id="_x0000_s1026" o:spid="_x0000_s1026" o:spt="2" style="position:absolute;left:0;top:0;height:0;width:0;" fillcolor="#FFFFFF" filled="t" stroked="t" coordsize="21600,21600" arcsize="0.166666666666667" o:gfxdata="UEsDBAoAAAAAAIdO4kAAAAAAAAAAAAAAAAAEAAAAZHJzL1BLAwQUAAAACACHTuJAM7G7EroAAADb&#10;AAAADwAAAGRycy9kb3ducmV2LnhtbEVPPW/CMBDdkfgP1iF1A5uiojbgZECiYkMNHTpe42sSEZ+D&#10;7QTKr68rVep2T+/ztsXNdmIkH1rHGpYLBYK4cqblWsP7aT9/BhEissHOMWn4pgBFPp1sMTPuym80&#10;lrEWKYRDhhqaGPtMylA1ZDEsXE+cuC/nLcYEfS2Nx2sKt518VGotLbacGhrsaddQdS4Hq6EyalD+&#10;Yzy+fD7F8j4OF5avF60fZku1ARHpFv/Ff+6DSfN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sbsS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jc w:val="center"/>
                          <w:rPr>
                            <w:rFonts w:eastAsia="宋体"/>
                          </w:rPr>
                        </w:pPr>
                        <w:r>
                          <w:rPr>
                            <w:rFonts w:hint="eastAsia" w:eastAsia="宋体"/>
                          </w:rPr>
                          <w:t>社会维稳组</w:t>
                        </w:r>
                      </w:p>
                    </w:txbxContent>
                  </v:textbox>
                </v:roundrect>
                <v:roundrect id="_x0000_s1026" o:spid="_x0000_s1026" o:spt="2" style="position:absolute;left:0;top:0;height:0;width:0;" fillcolor="#FFFFFF" filled="t" stroked="t" coordsize="21600,21600" arcsize="0.166666666666667" o:gfxdata="UEsDBAoAAAAAAIdO4kAAAAAAAAAAAAAAAAAEAAAAZHJzL1BLAwQUAAAACACHTuJAvFgjZroAAADb&#10;AAAADwAAAGRycy9kb3ducmV2LnhtbEVPPW/CMBDdkfgP1iF1A5uKojbgZECiYkMNHTpe42sSEZ+D&#10;7QTKr68rVep2T+/ztsXNdmIkH1rHGpYLBYK4cqblWsP7aT9/BhEissHOMWn4pgBFPp1sMTPuym80&#10;lrEWKYRDhhqaGPtMylA1ZDEsXE+cuC/nLcYEfS2Nx2sKt518VGotLbacGhrsaddQdS4Hq6EyalD+&#10;Yzy+fD7F8j4OF5avF60fZku1ARHpFv/Ff+6DSfN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WCNm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jc w:val="center"/>
                          <w:rPr>
                            <w:rFonts w:eastAsia="宋体"/>
                          </w:rPr>
                        </w:pPr>
                        <w:r>
                          <w:rPr>
                            <w:rFonts w:hint="eastAsia" w:eastAsia="宋体"/>
                          </w:rPr>
                          <w:t>后勤保障组</w:t>
                        </w:r>
                      </w:p>
                    </w:txbxContent>
                  </v:textbox>
                </v:roundrect>
                <v:roundrect id="_x0000_s1026" o:spid="_x0000_s1026" o:spt="2" style="position:absolute;left:0;top:0;height:0;width:0;" fillcolor="#FFFFFF" filled="t" stroked="t" coordsize="21600,21600" arcsize="0.166666666666667" o:gfxdata="UEsDBAoAAAAAAIdO4kAAAAAAAAAAAAAAAAAEAAAAZHJzL1BLAwQUAAAACACHTuJA0xSG/boAAADb&#10;AAAADwAAAGRycy9kb3ducmV2LnhtbEVPO2/CMBDekfofrKvERmyQqEqKYahU1K0idGC8xkcSEZ+D&#10;7YTHr6+RkNju0/e85fpiWzGQD41jDdNMgSAunWm40vC7+5q8gwgR2WDrmDRcKcB69TJaYm7cmbc0&#10;FLESKYRDjhrqGLtcylDWZDFkriNO3MF5izFBX0nj8ZzCbStnSr1Jiw2nhho7+qypPBa91VAa1Su/&#10;H34Wf/NY3Ib+xHJz0nr8OlUfICJd4lP8cH+bNH8O91/SAXL1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FIb9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jc w:val="center"/>
                          <w:rPr>
                            <w:rFonts w:eastAsia="宋体"/>
                          </w:rPr>
                        </w:pPr>
                        <w:r>
                          <w:rPr>
                            <w:rFonts w:hint="eastAsia" w:eastAsia="宋体"/>
                          </w:rPr>
                          <w:t>事故调查组</w:t>
                        </w:r>
                      </w:p>
                    </w:txbxContent>
                  </v:textbox>
                </v:roundrect>
                <v:roundrect id="_x0000_s1026" o:spid="_x0000_s1026" o:spt="2" style="position:absolute;left:0;top:0;height:0;width:0;" fillcolor="#FFFFFF" filled="t" stroked="t" coordsize="21600,21600" arcsize="0.166666666666667" o:gfxdata="UEsDBAoAAAAAAIdO4kAAAAAAAAAAAAAAAAAEAAAAZHJzL1BLAwQUAAAACACHTuJAI8YYiroAAADb&#10;AAAADwAAAGRycy9kb3ducmV2LnhtbEVPO2/CMBDekfofrKvUjdggFUGKYahU1K0iZWC8xkcSEZ+D&#10;7YTHr8dISN3u0/e85fpiWzGQD41jDZNMgSAunWm40rD7/RrPQYSIbLB1TBquFGC9ehktMTfuzFsa&#10;iliJFMIhRw11jF0uZShrshgy1xEn7uC8xZigr6TxeE7htpVTpWbSYsOpocaOPmsqj0VvNZRG9crv&#10;h5/F33ssbkN/Yrk5af32OlEfICJd4r/46f42af4MHr+kA+Tq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xhiK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jc w:val="center"/>
                          <w:rPr>
                            <w:rFonts w:eastAsia="宋体"/>
                          </w:rPr>
                        </w:pPr>
                        <w:r>
                          <w:rPr>
                            <w:rFonts w:hint="eastAsia" w:eastAsia="宋体"/>
                          </w:rPr>
                          <w:t>善后处置组</w:t>
                        </w:r>
                      </w:p>
                    </w:txbxContent>
                  </v:textbox>
                </v:roundrect>
                <v:roundrect id="_x0000_s1026" o:spid="_x0000_s1026" o:spt="2" style="position:absolute;left:0;top:0;height:0;width:0;" fillcolor="#FFFFFF" filled="t" stroked="t" coordsize="21600,21600" arcsize="0.166666666666667" o:gfxdata="UEsDBAoAAAAAAIdO4kAAAAAAAAAAAAAAAAAEAAAAZHJzL1BLAwQUAAAACACHTuJATIq9EboAAADb&#10;AAAADwAAAGRycy9kb3ducmV2LnhtbEVPPW/CMBDdkfgP1iF1A5tKlDbgZECiYkMNHTpe42sSEZ+D&#10;7QTKr68rVep2T+/ztsXNdmIkH1rHGpYLBYK4cqblWsP7aT9/BhEissHOMWn4pgBFPp1sMTPuym80&#10;lrEWKYRDhhqaGPtMylA1ZDEsXE+cuC/nLcYEfS2Nx2sKt518VOpJWmw5NTTY066h6lwOVkNl1KD8&#10;x3h8+VzF8j4OF5avF60fZku1ARHpFv/Ff+6DSfP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ir0R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jc w:val="center"/>
                          <w:rPr>
                            <w:rFonts w:eastAsia="宋体"/>
                          </w:rPr>
                        </w:pPr>
                        <w:r>
                          <w:rPr>
                            <w:rFonts w:hint="eastAsia" w:eastAsia="宋体"/>
                          </w:rPr>
                          <w:t>宣传报道组</w:t>
                        </w:r>
                      </w:p>
                    </w:txbxContent>
                  </v:textbox>
                </v:roundrect>
                <v:roundrect id="_x0000_s1026" o:spid="_x0000_s1026" o:spt="2" style="position:absolute;left:0;top:0;height:0;width:0;" fillcolor="#FFFFFF" filled="t" stroked="t" coordsize="21600,21600" arcsize="0.166666666666667" o:gfxdata="UEsDBAoAAAAAAIdO4kAAAAAAAAAAAAAAAAAEAAAAZHJzL1BLAwQUAAAACACHTuJAUlmM+LoAAADb&#10;AAAADwAAAGRycy9kb3ducmV2LnhtbEVPPW/CMBDdkfofrKvUDWyQqJoUw4DUig0ROjAe8TWJiM/B&#10;dgLl19dISGz39D5vsbraVgzkQ+NYw3SiQBCXzjRcafjZf40/QISIbLB1TBr+KMBq+TJaYG7chXc0&#10;FLESKYRDjhrqGLtcylDWZDFMXEecuF/nLcYEfSWNx0sKt62cKfUuLTacGmrsaF1TeSp6q6E0qlf+&#10;MGyz4zwWt6E/s/w+a/32OlWfICJd41P8cG9Mmp/B/Zd0gF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WYz4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400" w:lineRule="exact"/>
                          <w:jc w:val="left"/>
                          <w:rPr>
                            <w:rFonts w:hint="eastAsia" w:eastAsia="宋体"/>
                          </w:rPr>
                        </w:pPr>
                        <w:r>
                          <w:rPr>
                            <w:rFonts w:hint="eastAsia" w:eastAsia="宋体"/>
                          </w:rPr>
                          <w:t>省应急厅</w:t>
                        </w:r>
                      </w:p>
                      <w:p>
                        <w:pPr>
                          <w:spacing w:line="400" w:lineRule="exact"/>
                          <w:jc w:val="left"/>
                          <w:rPr>
                            <w:rFonts w:eastAsia="宋体"/>
                          </w:rPr>
                        </w:pPr>
                        <w:r>
                          <w:rPr>
                            <w:rFonts w:hint="eastAsia" w:eastAsia="宋体"/>
                          </w:rPr>
                          <w:t>省生态环境厅</w:t>
                        </w:r>
                      </w:p>
                      <w:p>
                        <w:pPr>
                          <w:spacing w:line="400" w:lineRule="exact"/>
                          <w:jc w:val="left"/>
                          <w:rPr>
                            <w:rFonts w:eastAsia="宋体"/>
                          </w:rPr>
                        </w:pPr>
                        <w:r>
                          <w:rPr>
                            <w:rFonts w:hint="eastAsia" w:eastAsia="宋体"/>
                          </w:rPr>
                          <w:t>省委宣传部</w:t>
                        </w:r>
                      </w:p>
                      <w:p>
                        <w:pPr>
                          <w:spacing w:line="400" w:lineRule="exact"/>
                          <w:jc w:val="left"/>
                          <w:rPr>
                            <w:rFonts w:eastAsia="宋体"/>
                          </w:rPr>
                        </w:pPr>
                        <w:r>
                          <w:rPr>
                            <w:rFonts w:hint="eastAsia" w:eastAsia="宋体"/>
                          </w:rPr>
                          <w:t>属地政府</w:t>
                        </w:r>
                      </w:p>
                    </w:txbxContent>
                  </v:textbox>
                </v:roundrect>
                <v:roundrect id="_x0000_s1026" o:spid="_x0000_s1026" o:spt="2" style="position:absolute;left:0;top:0;height:0;width:0;" fillcolor="#FFFFFF" filled="t" stroked="t" coordsize="21600,21600" arcsize="0.166666666666667" o:gfxdata="UEsDBAoAAAAAAIdO4kAAAAAAAAAAAAAAAAAEAAAAZHJzL1BLAwQUAAAACACHTuJA/d1xr7wAAADb&#10;AAAADwAAAGRycy9kb3ducmV2LnhtbEWPQWsCMRSE74L/IbxCb5qoVH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dca+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left"/>
                          <w:rPr>
                            <w:rFonts w:eastAsia="宋体"/>
                          </w:rPr>
                        </w:pPr>
                        <w:r>
                          <w:rPr>
                            <w:rFonts w:hint="eastAsia" w:eastAsia="宋体"/>
                          </w:rPr>
                          <w:t>省生态环境厅</w:t>
                        </w:r>
                      </w:p>
                      <w:p>
                        <w:pPr>
                          <w:jc w:val="left"/>
                          <w:rPr>
                            <w:rFonts w:eastAsia="宋体"/>
                          </w:rPr>
                        </w:pPr>
                        <w:r>
                          <w:rPr>
                            <w:rFonts w:hint="eastAsia" w:eastAsia="宋体"/>
                          </w:rPr>
                          <w:t>属地政府</w:t>
                        </w:r>
                      </w:p>
                      <w:p>
                        <w:pPr>
                          <w:jc w:val="left"/>
                          <w:rPr>
                            <w:rFonts w:eastAsia="宋体"/>
                          </w:rPr>
                        </w:pPr>
                        <w:r>
                          <w:rPr>
                            <w:rFonts w:hint="eastAsia" w:eastAsia="宋体"/>
                          </w:rPr>
                          <w:t>省教育厅</w:t>
                        </w:r>
                      </w:p>
                      <w:p>
                        <w:pPr>
                          <w:jc w:val="left"/>
                          <w:rPr>
                            <w:rFonts w:eastAsia="宋体"/>
                          </w:rPr>
                        </w:pPr>
                        <w:r>
                          <w:rPr>
                            <w:rFonts w:hint="eastAsia" w:eastAsia="宋体"/>
                          </w:rPr>
                          <w:t>省公安厅</w:t>
                        </w:r>
                      </w:p>
                      <w:p>
                        <w:pPr>
                          <w:jc w:val="left"/>
                          <w:rPr>
                            <w:rFonts w:eastAsia="宋体"/>
                          </w:rPr>
                        </w:pPr>
                        <w:r>
                          <w:rPr>
                            <w:rFonts w:hint="eastAsia" w:eastAsia="宋体"/>
                          </w:rPr>
                          <w:t>省交通运输厅</w:t>
                        </w:r>
                      </w:p>
                      <w:p>
                        <w:pPr>
                          <w:jc w:val="left"/>
                          <w:rPr>
                            <w:rFonts w:eastAsia="宋体"/>
                          </w:rPr>
                        </w:pPr>
                        <w:r>
                          <w:rPr>
                            <w:rFonts w:hint="eastAsia" w:eastAsia="宋体"/>
                          </w:rPr>
                          <w:t>省农业农村厅</w:t>
                        </w:r>
                      </w:p>
                      <w:p>
                        <w:pPr>
                          <w:jc w:val="left"/>
                          <w:rPr>
                            <w:rFonts w:eastAsia="宋体"/>
                          </w:rPr>
                        </w:pPr>
                        <w:r>
                          <w:rPr>
                            <w:rFonts w:hint="eastAsia" w:eastAsia="宋体"/>
                          </w:rPr>
                          <w:t>省水利厅</w:t>
                        </w:r>
                      </w:p>
                      <w:p>
                        <w:pPr>
                          <w:jc w:val="left"/>
                          <w:rPr>
                            <w:rFonts w:hint="eastAsia" w:eastAsia="宋体"/>
                          </w:rPr>
                        </w:pPr>
                        <w:r>
                          <w:rPr>
                            <w:rFonts w:hint="eastAsia" w:eastAsia="宋体"/>
                          </w:rPr>
                          <w:t>省应急厅</w:t>
                        </w:r>
                      </w:p>
                      <w:p>
                        <w:pPr>
                          <w:jc w:val="left"/>
                          <w:rPr>
                            <w:rFonts w:eastAsia="宋体"/>
                          </w:rPr>
                        </w:pPr>
                        <w:r>
                          <w:rPr>
                            <w:rFonts w:hint="eastAsia" w:eastAsia="宋体"/>
                          </w:rPr>
                          <w:t>省卫生健康委</w:t>
                        </w:r>
                      </w:p>
                      <w:p>
                        <w:pPr>
                          <w:jc w:val="left"/>
                          <w:rPr>
                            <w:rFonts w:eastAsia="宋体"/>
                          </w:rPr>
                        </w:pPr>
                        <w:r>
                          <w:rPr>
                            <w:rFonts w:hint="eastAsia" w:eastAsia="宋体"/>
                          </w:rPr>
                          <w:t>省林业局</w:t>
                        </w:r>
                      </w:p>
                      <w:p>
                        <w:pPr>
                          <w:jc w:val="left"/>
                          <w:rPr>
                            <w:rFonts w:eastAsia="宋体"/>
                          </w:rPr>
                        </w:pPr>
                        <w:r>
                          <w:rPr>
                            <w:rFonts w:hint="eastAsia" w:eastAsia="宋体"/>
                          </w:rPr>
                          <w:t>省能源局</w:t>
                        </w:r>
                      </w:p>
                      <w:p>
                        <w:pPr>
                          <w:jc w:val="left"/>
                          <w:rPr>
                            <w:rFonts w:eastAsia="宋体"/>
                          </w:rPr>
                        </w:pPr>
                        <w:r>
                          <w:rPr>
                            <w:rFonts w:hint="eastAsia" w:eastAsia="宋体"/>
                          </w:rPr>
                          <w:t>省文化旅游厅</w:t>
                        </w:r>
                      </w:p>
                      <w:p>
                        <w:pPr>
                          <w:jc w:val="left"/>
                          <w:rPr>
                            <w:rFonts w:eastAsia="宋体"/>
                          </w:rPr>
                        </w:pPr>
                        <w:r>
                          <w:rPr>
                            <w:rFonts w:hint="eastAsia" w:eastAsia="宋体"/>
                          </w:rPr>
                          <w:t>省军区司令部</w:t>
                        </w:r>
                      </w:p>
                      <w:p>
                        <w:pPr>
                          <w:jc w:val="left"/>
                          <w:rPr>
                            <w:rFonts w:eastAsia="宋体"/>
                          </w:rPr>
                        </w:pPr>
                        <w:r>
                          <w:rPr>
                            <w:rFonts w:hint="eastAsia" w:eastAsia="宋体"/>
                          </w:rPr>
                          <w:t>省武警总队司令部</w:t>
                        </w:r>
                      </w:p>
                    </w:txbxContent>
                  </v:textbox>
                </v:roundrect>
                <v:roundrect id="_x0000_s1026" o:spid="_x0000_s1026" o:spt="2" style="position:absolute;left:0;top:0;height:0;width:0;" fillcolor="#FFFFFF" filled="t" stroked="t" coordsize="21600,21600" arcsize="0.166666666666667" o:gfxdata="UEsDBAoAAAAAAIdO4kAAAAAAAAAAAAAAAAAEAAAAZHJzL1BLAwQUAAAACACHTuJAcjTp27wAAADb&#10;AAAADwAAAGRycy9kb3ducmV2LnhtbEWPQWsCMRSE74L/IbxCb5ooVn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06du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400" w:lineRule="exact"/>
                          <w:jc w:val="left"/>
                          <w:rPr>
                            <w:rFonts w:eastAsia="宋体"/>
                          </w:rPr>
                        </w:pPr>
                        <w:r>
                          <w:rPr>
                            <w:rFonts w:hint="eastAsia" w:eastAsia="宋体"/>
                          </w:rPr>
                          <w:t>省生态环境厅</w:t>
                        </w:r>
                      </w:p>
                      <w:p>
                        <w:pPr>
                          <w:spacing w:line="400" w:lineRule="exact"/>
                          <w:jc w:val="left"/>
                          <w:rPr>
                            <w:rFonts w:eastAsia="宋体"/>
                          </w:rPr>
                        </w:pPr>
                        <w:r>
                          <w:rPr>
                            <w:rFonts w:hint="eastAsia" w:eastAsia="宋体"/>
                          </w:rPr>
                          <w:t>属地政府</w:t>
                        </w:r>
                      </w:p>
                      <w:p>
                        <w:pPr>
                          <w:spacing w:line="400" w:lineRule="exact"/>
                          <w:jc w:val="left"/>
                          <w:rPr>
                            <w:rFonts w:eastAsia="宋体"/>
                          </w:rPr>
                        </w:pPr>
                        <w:r>
                          <w:rPr>
                            <w:rFonts w:hint="eastAsia" w:eastAsia="宋体"/>
                          </w:rPr>
                          <w:t>省水利厅</w:t>
                        </w:r>
                      </w:p>
                      <w:p>
                        <w:pPr>
                          <w:spacing w:line="400" w:lineRule="exact"/>
                          <w:jc w:val="left"/>
                          <w:rPr>
                            <w:rFonts w:eastAsia="宋体"/>
                          </w:rPr>
                        </w:pPr>
                        <w:r>
                          <w:rPr>
                            <w:rFonts w:hint="eastAsia" w:eastAsia="宋体"/>
                          </w:rPr>
                          <w:t>省地震局</w:t>
                        </w:r>
                      </w:p>
                      <w:p>
                        <w:pPr>
                          <w:spacing w:line="400" w:lineRule="exact"/>
                          <w:jc w:val="left"/>
                          <w:rPr>
                            <w:rFonts w:eastAsia="宋体"/>
                          </w:rPr>
                        </w:pPr>
                        <w:r>
                          <w:rPr>
                            <w:rFonts w:hint="eastAsia" w:eastAsia="宋体"/>
                          </w:rPr>
                          <w:t>省气象局</w:t>
                        </w:r>
                      </w:p>
                    </w:txbxContent>
                  </v:textbox>
                </v:roundrect>
                <v:roundrect id="_x0000_s1026" o:spid="_x0000_s1026" o:spt="2" style="position:absolute;left:0;top:0;height:0;width:0;" fillcolor="#FFFFFF" filled="t" stroked="t" coordsize="21600,21600" arcsize="0.166666666666667" o:gfxdata="UEsDBAoAAAAAAIdO4kAAAAAAAAAAAAAAAAAEAAAAZHJzL1BLAwQUAAAACACHTuJAHXhMQL0AAADb&#10;AAAADwAAAGRycy9kb3ducmV2LnhtbEWPwWrDMBBE74H+g9hCb7HkQELqRvGh0JJbiJtDjltra5ta&#10;K0eSnTRfHxUKPQ4z84bZlFfbi4l86BxryDMFgrh2puNGw/Hjbb4GESKywd4xafihAOX2YbbBwrgL&#10;H2iqYiMShEOBGtoYh0LKULdkMWRuIE7el/MWY5K+kcbjJcFtLxdKraTFjtNCiwO9tlR/V6PVUBs1&#10;Kn+a9s+fy1jdpvHM8v2s9dNjrl5ARLrG//Bfe2c0LJbw+yX9ALm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eExA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spacing w:line="400" w:lineRule="exact"/>
                          <w:jc w:val="left"/>
                          <w:rPr>
                            <w:rFonts w:eastAsia="宋体"/>
                          </w:rPr>
                        </w:pPr>
                        <w:r>
                          <w:rPr>
                            <w:rFonts w:hint="eastAsia" w:eastAsia="宋体"/>
                          </w:rPr>
                          <w:t>省卫生健康委</w:t>
                        </w:r>
                      </w:p>
                      <w:p>
                        <w:pPr>
                          <w:spacing w:line="400" w:lineRule="exact"/>
                          <w:jc w:val="left"/>
                          <w:rPr>
                            <w:rFonts w:eastAsia="宋体"/>
                          </w:rPr>
                        </w:pPr>
                        <w:r>
                          <w:rPr>
                            <w:rFonts w:hint="eastAsia" w:eastAsia="宋体"/>
                          </w:rPr>
                          <w:t>属地政府</w:t>
                        </w:r>
                      </w:p>
                      <w:p>
                        <w:pPr>
                          <w:spacing w:line="400" w:lineRule="exact"/>
                          <w:jc w:val="left"/>
                          <w:rPr>
                            <w:rFonts w:eastAsia="宋体"/>
                          </w:rPr>
                        </w:pPr>
                        <w:r>
                          <w:rPr>
                            <w:rFonts w:hint="eastAsia" w:eastAsia="宋体"/>
                          </w:rPr>
                          <w:t>医疗卫生机构</w:t>
                        </w:r>
                      </w:p>
                    </w:txbxContent>
                  </v:textbox>
                </v:roundrect>
                <v:roundrect id="_x0000_s1026" o:spid="_x0000_s1026" o:spt="2" style="position:absolute;left:0;top:0;height:0;width:0;" fillcolor="#FFFFFF" filled="t" stroked="t" coordsize="21600,21600" arcsize="0.166666666666667" o:gfxdata="UEsDBAoAAAAAAIdO4kAAAAAAAAAAAAAAAAAEAAAAZHJzL1BLAwQUAAAACACHTuJA7arSN7sAAADb&#10;AAAADwAAAGRycy9kb3ducmV2LnhtbEWPQWsCMRSE7wX/Q3iCt5ooKLo1eigo3sStB4/Pzevu0s3L&#10;mmRX219vBKHHYWa+YVabu21ETz7UjjVMxgoEceFMzaWG09f2fQEiRGSDjWPS8EsBNuvB2woz4258&#10;pD6PpUgQDhlqqGJsMylDUZHFMHYtcfK+nbcYk/SlNB5vCW4bOVVqLi3WnBYqbOmzouIn76yGwqhO&#10;+XN/WF5mMf/ruyvL3VXr0XCiPkBEusf/8Ku9Nxqmc3h+ST9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arSN7sAAADb&#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spacing w:line="400" w:lineRule="exact"/>
                          <w:jc w:val="left"/>
                          <w:rPr>
                            <w:rFonts w:eastAsia="宋体"/>
                          </w:rPr>
                        </w:pPr>
                        <w:r>
                          <w:rPr>
                            <w:rFonts w:hint="eastAsia" w:eastAsia="宋体"/>
                          </w:rPr>
                          <w:t>省委政法委员会</w:t>
                        </w:r>
                      </w:p>
                      <w:p>
                        <w:pPr>
                          <w:spacing w:line="400" w:lineRule="exact"/>
                          <w:jc w:val="left"/>
                          <w:rPr>
                            <w:rFonts w:eastAsia="宋体"/>
                          </w:rPr>
                        </w:pPr>
                        <w:r>
                          <w:rPr>
                            <w:rFonts w:hint="eastAsia" w:eastAsia="宋体"/>
                          </w:rPr>
                          <w:t>属地政府</w:t>
                        </w:r>
                      </w:p>
                      <w:p>
                        <w:pPr>
                          <w:spacing w:line="400" w:lineRule="exact"/>
                          <w:jc w:val="left"/>
                          <w:rPr>
                            <w:rFonts w:eastAsia="宋体"/>
                          </w:rPr>
                        </w:pPr>
                        <w:r>
                          <w:rPr>
                            <w:rFonts w:hint="eastAsia" w:eastAsia="宋体"/>
                          </w:rPr>
                          <w:t>省公安厅</w:t>
                        </w:r>
                      </w:p>
                      <w:p>
                        <w:pPr>
                          <w:spacing w:line="400" w:lineRule="exact"/>
                          <w:jc w:val="left"/>
                          <w:rPr>
                            <w:rFonts w:eastAsia="宋体"/>
                          </w:rPr>
                        </w:pPr>
                        <w:r>
                          <w:rPr>
                            <w:rFonts w:hint="eastAsia" w:eastAsia="宋体"/>
                          </w:rPr>
                          <w:t>省民政厅</w:t>
                        </w:r>
                      </w:p>
                    </w:txbxContent>
                  </v:textbox>
                </v:roundrect>
                <v:roundrect id="_x0000_s1026" o:spid="_x0000_s1026" o:spt="2" style="position:absolute;left:0;top:0;height:0;width:0;" fillcolor="#FFFFFF" filled="t" stroked="t" coordsize="21600,21600" arcsize="0.166666666666667" o:gfxdata="UEsDBAoAAAAAAIdO4kAAAAAAAAAAAAAAAAAEAAAAZHJzL1BLAwQUAAAACACHTuJAguZ3rLwAAADb&#10;AAAADwAAAGRycy9kb3ducmV2LnhtbEWPQWsCMRSE74L/IbxCb5ooWHVr9CAo3kpXDx6fm9fdpZuX&#10;Ncmutr++KQgeh5n5hllt7rYRPflQO9YwGSsQxIUzNZcaTsfdaAEiRGSDjWPS8EMBNuvhYIWZcTf+&#10;pD6PpUgQDhlqqGJsMylDUZHFMHYtcfK+nLcYk/SlNB5vCW4bOVXqTVqsOS1U2NK2ouI776yGwqhO&#10;+XP/sbzMYv7bd1eW+6vWry8T9Q4i0j0+w4/2wWiYzuH/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md6y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400" w:lineRule="exact"/>
                          <w:jc w:val="left"/>
                          <w:rPr>
                            <w:rFonts w:hint="eastAsia" w:eastAsia="宋体"/>
                          </w:rPr>
                        </w:pPr>
                        <w:r>
                          <w:rPr>
                            <w:rFonts w:hint="eastAsia" w:eastAsia="宋体"/>
                          </w:rPr>
                          <w:t>省应急厅</w:t>
                        </w:r>
                      </w:p>
                      <w:p>
                        <w:pPr>
                          <w:spacing w:line="400" w:lineRule="exact"/>
                          <w:jc w:val="left"/>
                          <w:rPr>
                            <w:rFonts w:eastAsia="宋体"/>
                          </w:rPr>
                        </w:pPr>
                        <w:r>
                          <w:rPr>
                            <w:rFonts w:hint="eastAsia" w:eastAsia="宋体"/>
                          </w:rPr>
                          <w:t>属地政府</w:t>
                        </w:r>
                      </w:p>
                      <w:p>
                        <w:pPr>
                          <w:spacing w:line="400" w:lineRule="exact"/>
                          <w:jc w:val="left"/>
                          <w:rPr>
                            <w:rFonts w:eastAsia="宋体"/>
                          </w:rPr>
                        </w:pPr>
                        <w:r>
                          <w:rPr>
                            <w:rFonts w:hint="eastAsia" w:eastAsia="宋体"/>
                          </w:rPr>
                          <w:t>省发展改革委</w:t>
                        </w:r>
                      </w:p>
                      <w:p>
                        <w:pPr>
                          <w:spacing w:line="400" w:lineRule="exact"/>
                          <w:jc w:val="left"/>
                          <w:rPr>
                            <w:rFonts w:eastAsia="宋体"/>
                          </w:rPr>
                        </w:pPr>
                        <w:r>
                          <w:rPr>
                            <w:rFonts w:hint="eastAsia" w:eastAsia="宋体"/>
                          </w:rPr>
                          <w:t>省工业和信息化厅</w:t>
                        </w:r>
                      </w:p>
                      <w:p>
                        <w:pPr>
                          <w:spacing w:line="400" w:lineRule="exact"/>
                          <w:jc w:val="left"/>
                          <w:rPr>
                            <w:rFonts w:eastAsia="宋体"/>
                          </w:rPr>
                        </w:pPr>
                        <w:r>
                          <w:rPr>
                            <w:rFonts w:hint="eastAsia" w:eastAsia="宋体"/>
                          </w:rPr>
                          <w:t>省公安厅</w:t>
                        </w:r>
                      </w:p>
                      <w:p>
                        <w:pPr>
                          <w:spacing w:line="400" w:lineRule="exact"/>
                          <w:jc w:val="left"/>
                          <w:rPr>
                            <w:rFonts w:eastAsia="宋体"/>
                          </w:rPr>
                        </w:pPr>
                        <w:r>
                          <w:rPr>
                            <w:rFonts w:hint="eastAsia" w:eastAsia="宋体"/>
                          </w:rPr>
                          <w:t>省财政厅</w:t>
                        </w:r>
                      </w:p>
                      <w:p>
                        <w:pPr>
                          <w:spacing w:line="400" w:lineRule="exact"/>
                          <w:jc w:val="left"/>
                          <w:rPr>
                            <w:rFonts w:eastAsia="宋体"/>
                          </w:rPr>
                        </w:pPr>
                        <w:r>
                          <w:rPr>
                            <w:rFonts w:hint="eastAsia" w:eastAsia="宋体"/>
                          </w:rPr>
                          <w:t>省住房城乡建设厅</w:t>
                        </w:r>
                      </w:p>
                      <w:p>
                        <w:pPr>
                          <w:spacing w:line="400" w:lineRule="exact"/>
                          <w:jc w:val="left"/>
                          <w:rPr>
                            <w:rFonts w:eastAsia="宋体"/>
                          </w:rPr>
                        </w:pPr>
                        <w:r>
                          <w:rPr>
                            <w:rFonts w:hint="eastAsia" w:eastAsia="宋体"/>
                          </w:rPr>
                          <w:t>省交通运输厅</w:t>
                        </w:r>
                      </w:p>
                      <w:p>
                        <w:pPr>
                          <w:spacing w:line="400" w:lineRule="exact"/>
                          <w:jc w:val="left"/>
                          <w:rPr>
                            <w:rFonts w:eastAsia="宋体"/>
                          </w:rPr>
                        </w:pPr>
                        <w:r>
                          <w:rPr>
                            <w:rFonts w:hint="eastAsia" w:eastAsia="宋体"/>
                          </w:rPr>
                          <w:t>省粮食和物资储备局</w:t>
                        </w:r>
                      </w:p>
                      <w:p>
                        <w:pPr>
                          <w:spacing w:line="400" w:lineRule="exact"/>
                          <w:jc w:val="left"/>
                          <w:rPr>
                            <w:rFonts w:eastAsia="宋体"/>
                          </w:rPr>
                        </w:pPr>
                        <w:r>
                          <w:rPr>
                            <w:rFonts w:hint="eastAsia" w:eastAsia="宋体"/>
                          </w:rPr>
                          <w:t>省通信管理局</w:t>
                        </w:r>
                      </w:p>
                    </w:txbxContent>
                  </v:textbox>
                </v:roundrect>
                <v:shape id="_x0000_s1026" o:spid="_x0000_s1026" o:spt="32" type="#_x0000_t32" style="position:absolute;left:0;top:0;height:0;width:0;" filled="f" stroked="t" coordsize="21600,21600" o:gfxdata="UEsDBAoAAAAAAIdO4kAAAAAAAAAAAAAAAAAEAAAAZHJzL1BLAwQUAAAACACHTuJAL5YvQbsAAADb&#10;AAAADwAAAGRycy9kb3ducmV2LnhtbEVPz2vCMBS+C/sfwhvsZlM9lK0aBSdjvWyglbHjo3k2weal&#10;NFmr++uXg7Djx/d7vb26Tow0BOtZwSLLQRA3XltuFZzqt/kziBCRNXaeScGNAmw3D7M1ltpPfKDx&#10;GFuRQjiUqMDE2JdShsaQw5D5njhxZz84jAkOrdQDTincdXKZ54V0aDk1GOzp1VBzOf44BXH/fTPF&#10;V7N7sZ/1+0dhf6uq2iv19LjIVyAiXeO/+O6utIJlGpu+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5YvQ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0;top:0;height:0;width:0;" filled="f" stroked="t" coordsize="21600,21600" o:gfxdata="UEsDBAoAAAAAAIdO4kAAAAAAAAAAAAAAAAAEAAAAZHJzL1BLAwQUAAAACACHTuJAQNqK2r4AAADb&#10;AAAADwAAAGRycy9kb3ducmV2LnhtbEWPzWsCMRTE70L/h/CE3jSrh0W3RkGldC8V/KD0+Ni8boKb&#10;l2WT+vXXG0HwOMzMb5jZ4uIacaIuWM8KRsMMBHHlteVawWH/OZiACBFZY+OZFFwpwGL+1pthof2Z&#10;t3TaxVokCIcCFZgY20LKUBlyGIa+JU7en+8cxiS7WuoOzwnuGjnOslw6tJwWDLa0MlQdd/9OQVz/&#10;Xk3+Uy2ndrP/+s7trSzLtVLv/VH2ASLSJb7Cz3apFYyn8PiSfoC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qK2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0;top:0;height:0;width:0;" filled="f" stroked="t" coordsize="21600,21600" o:gfxdata="UEsDBAoAAAAAAIdO4kAAAAAAAAAAAAAAAAAEAAAAZHJzL1BLAwQUAAAACACHTuJAVDm1mrsAAADb&#10;AAAADwAAAGRycy9kb3ducmV2LnhtbEVPW2vCMBR+H+w/hDPY20zroG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Dm1m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0;top:0;height:0;width:0;" filled="f" stroked="t" coordsize="21600,21600" o:gfxdata="UEsDBAoAAAAAAIdO4kAAAAAAAAAAAAAAAAAEAAAAZHJzL1BLAwQUAAAACACHTuJAO3UQAb4AAADb&#10;AAAADwAAAGRycy9kb3ducmV2LnhtbEWPT2sCMRTE7wW/Q3hCbzW7FpZ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3UQA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0;top:0;height:0;width:0;" filled="f" stroked="t" coordsize="21600,21600" o:gfxdata="UEsDBAoAAAAAAIdO4kAAAAAAAAAAAAAAAAAEAAAAZHJzL1BLAwQUAAAACACHTuJAy6eOdr4AAADb&#10;AAAADwAAAGRycy9kb3ducmV2LnhtbEWPW2sCMRSE3wv+h3CEvtWsFhZ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6eOd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0;top:0;height:0;width:0;" filled="f" stroked="t" coordsize="21600,21600" o:gfxdata="UEsDBAoAAAAAAIdO4kAAAAAAAAAAAAAAAAAEAAAAZHJzL1BLAwQUAAAACACHTuJApOsr7b4AAADb&#10;AAAADwAAAGRycy9kb3ducmV2LnhtbEWPT2sCMRTE7wW/Q3iCt5pVYa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7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0;top:0;height:0;width:0;" filled="f" stroked="t" coordsize="21600,21600" o:gfxdata="UEsDBAoAAAAAAIdO4kAAAAAAAAAAAAAAAAAEAAAAZHJzL1BLAwQUAAAACACHTuJAKwKzmb4AAADb&#10;AAAADwAAAGRycy9kb3ducmV2LnhtbEWPW2sCMRSE3wv9D+EUfNOsWha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wKzm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0;top:0;height:0;width:0;" filled="f" stroked="t" coordsize="21600,21600" o:gfxdata="UEsDBAoAAAAAAIdO4kAAAAAAAAAAAAAAAAAEAAAAZHJzL1BLAwQUAAAACACHTuJARE4WAr4AAADb&#10;AAAADwAAAGRycy9kb3ducmV2LnhtbEWPW2sCMRSE3wv9D+EUfNOsS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E4WA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0;top:0;height:0;width:0;" filled="f" stroked="t" coordsize="21600,21600" o:gfxdata="UEsDBAoAAAAAAIdO4kAAAAAAAAAAAAAAAAAEAAAAZHJzL1BLAwQUAAAACACHTuJAtJyIdb8AAADb&#10;AAAADwAAAGRycy9kb3ducmV2LnhtbEWPzWrDMBCE74G8g9hAb4nsFEz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ciH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oundrect id="_x0000_s1026" o:spid="_x0000_s1026" o:spt="2" style="position:absolute;left:0;top:0;height:0;width:0;" fillcolor="#FFFFFF" filled="t" stroked="t" coordsize="21600,21600" arcsize="0.166666666666667" o:gfxdata="UEsDBAoAAAAAAIdO4kAAAAAAAAAAAAAAAAAEAAAAZHJzL1BLAwQUAAAACACHTuJABz/hcb0AAADb&#10;AAAADwAAAGRycy9kb3ducmV2LnhtbEWPwW7CMBBE70j8g7VIvREbqgJNMRyQqHqrGjhw3MbbJCJe&#10;B9sJtF9fV6rEcTQzbzTr7c22YiAfGscaZpkCQVw603Cl4XjYT1cgQkQ22DomDd8UYLsZj9aYG3fl&#10;DxqKWIkE4ZCjhjrGLpcylDVZDJnriJP35bzFmKSvpPF4TXDbyrlSC2mx4bRQY0e7mspz0VsNpVG9&#10;8qfh/fnzKRY/Q39h+XrR+mEyUy8gIt3iPfzffjMaHpfw9yX9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P+Fx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spacing w:line="400" w:lineRule="exact"/>
                          <w:jc w:val="left"/>
                          <w:rPr>
                            <w:rFonts w:eastAsia="宋体"/>
                          </w:rPr>
                        </w:pPr>
                        <w:r>
                          <w:rPr>
                            <w:rFonts w:hint="eastAsia" w:eastAsia="宋体"/>
                          </w:rPr>
                          <w:t>省生态环境厅</w:t>
                        </w:r>
                      </w:p>
                      <w:p>
                        <w:pPr>
                          <w:spacing w:line="400" w:lineRule="exact"/>
                          <w:jc w:val="left"/>
                          <w:rPr>
                            <w:rFonts w:eastAsia="宋体"/>
                          </w:rPr>
                        </w:pPr>
                        <w:r>
                          <w:rPr>
                            <w:rFonts w:hint="eastAsia" w:eastAsia="宋体"/>
                          </w:rPr>
                          <w:t>属地政府</w:t>
                        </w:r>
                      </w:p>
                      <w:p>
                        <w:pPr>
                          <w:spacing w:line="400" w:lineRule="exact"/>
                          <w:jc w:val="left"/>
                          <w:rPr>
                            <w:rFonts w:eastAsia="宋体"/>
                          </w:rPr>
                        </w:pPr>
                        <w:r>
                          <w:rPr>
                            <w:rFonts w:hint="eastAsia" w:eastAsia="宋体"/>
                          </w:rPr>
                          <w:t>省公安厅</w:t>
                        </w:r>
                      </w:p>
                    </w:txbxContent>
                  </v:textbox>
                </v:roundrect>
                <v:roundrect id="_x0000_s1026" o:spid="_x0000_s1026" o:spt="2" style="position:absolute;left:0;top:0;height:0;width:0;" fillcolor="#FFFFFF" filled="t" stroked="t" coordsize="21600,21600" arcsize="0.166666666666667" o:gfxdata="UEsDBAoAAAAAAIdO4kAAAAAAAAAAAAAAAAAEAAAAZHJzL1BLAwQUAAAACACHTuJAdqB1A7oAAADb&#10;AAAADwAAAGRycy9kb3ducmV2LnhtbEVPu07DMBTdK/EP1kVia+wWFUEapwNSEVvV0IHxEt8mEfF1&#10;ajvp4+vrAYnx6LyLzcX2YiIfOscaFpkCQVw703Gj4fC1nb+CCBHZYO+YNFwpwKZ8mBWYG3fmPU1V&#10;bEQK4ZCjhjbGIZcy1C1ZDJkbiBN3dN5iTNA30ng8p3Dby6VSL9Jix6mhxYHeW6p/q9FqqI0alf+e&#10;dm8/q1jdpvHE8uOk9dPjQq1BRLrEf/Gf+9NoeE5j05f0A2R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2oHUD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400" w:lineRule="exact"/>
                          <w:jc w:val="left"/>
                          <w:rPr>
                            <w:rFonts w:eastAsia="宋体"/>
                          </w:rPr>
                        </w:pPr>
                        <w:r>
                          <w:rPr>
                            <w:rFonts w:hint="eastAsia" w:eastAsia="宋体"/>
                          </w:rPr>
                          <w:t>省民政厅</w:t>
                        </w:r>
                      </w:p>
                      <w:p>
                        <w:pPr>
                          <w:spacing w:line="400" w:lineRule="exact"/>
                          <w:jc w:val="left"/>
                          <w:rPr>
                            <w:rFonts w:eastAsia="宋体"/>
                          </w:rPr>
                        </w:pPr>
                        <w:r>
                          <w:rPr>
                            <w:rFonts w:hint="eastAsia" w:eastAsia="宋体"/>
                          </w:rPr>
                          <w:t>属地政府</w:t>
                        </w:r>
                      </w:p>
                      <w:p>
                        <w:pPr>
                          <w:spacing w:line="400" w:lineRule="exact"/>
                          <w:jc w:val="left"/>
                          <w:rPr>
                            <w:rFonts w:eastAsia="宋体"/>
                          </w:rPr>
                        </w:pPr>
                        <w:r>
                          <w:rPr>
                            <w:rFonts w:hint="eastAsia" w:eastAsia="宋体"/>
                          </w:rPr>
                          <w:t>省生态环境厅</w:t>
                        </w:r>
                      </w:p>
                      <w:p>
                        <w:pPr>
                          <w:spacing w:line="400" w:lineRule="exact"/>
                          <w:jc w:val="left"/>
                          <w:rPr>
                            <w:rFonts w:eastAsia="宋体"/>
                          </w:rPr>
                        </w:pPr>
                        <w:r>
                          <w:rPr>
                            <w:rFonts w:hint="eastAsia" w:eastAsia="宋体"/>
                          </w:rPr>
                          <w:t>省发展改革委</w:t>
                        </w:r>
                      </w:p>
                      <w:p>
                        <w:pPr>
                          <w:spacing w:line="400" w:lineRule="exact"/>
                          <w:jc w:val="left"/>
                          <w:rPr>
                            <w:rFonts w:eastAsia="宋体"/>
                          </w:rPr>
                        </w:pPr>
                        <w:r>
                          <w:rPr>
                            <w:rFonts w:hint="eastAsia" w:eastAsia="宋体"/>
                          </w:rPr>
                          <w:t>省财政厅</w:t>
                        </w:r>
                      </w:p>
                      <w:p>
                        <w:pPr>
                          <w:spacing w:line="400" w:lineRule="exact"/>
                          <w:jc w:val="left"/>
                          <w:rPr>
                            <w:rFonts w:eastAsia="宋体"/>
                          </w:rPr>
                        </w:pPr>
                        <w:r>
                          <w:rPr>
                            <w:rFonts w:hint="eastAsia" w:eastAsia="宋体"/>
                          </w:rPr>
                          <w:t>省农业农村厅</w:t>
                        </w:r>
                      </w:p>
                      <w:p>
                        <w:pPr>
                          <w:spacing w:line="400" w:lineRule="exact"/>
                          <w:jc w:val="left"/>
                          <w:rPr>
                            <w:rFonts w:eastAsia="宋体"/>
                          </w:rPr>
                        </w:pPr>
                        <w:r>
                          <w:rPr>
                            <w:rFonts w:hint="eastAsia" w:eastAsia="宋体"/>
                          </w:rPr>
                          <w:t>省卫生健康委</w:t>
                        </w:r>
                      </w:p>
                    </w:txbxContent>
                  </v:textbox>
                </v:roundrect>
                <v:shape id="_x0000_s1026" o:spid="_x0000_s1026" o:spt="32" type="#_x0000_t32" style="position:absolute;left:0;top:0;height:0;width:0;" filled="f" stroked="t" coordsize="21600,21600" o:gfxdata="UEsDBAoAAAAAAIdO4kAAAAAAAAAAAAAAAAAEAAAAZHJzL1BLAwQUAAAACACHTuJAxQMcB74AAADb&#10;AAAADwAAAGRycy9kb3ducmV2LnhtbEWPT2sCMRTE74V+h/CE3mpWC4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McB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oundrect id="_x0000_s1026" o:spid="_x0000_s1026" o:spt="2" style="position:absolute;left:0;top:0;height:0;width:0;" fillcolor="#FFFFFF" filled="t" stroked="t" coordsize="21600,21600" arcsize="0.166666666666667" o:gfxdata="UEsDBAoAAAAAAIdO4kAAAAAAAAAAAAAAAAAEAAAAZHJzL1BLAwQUAAAACACHTuJA0NAKeLoAAADb&#10;AAAADwAAAGRycy9kb3ducmV2LnhtbEVPu07DMBTdK/EP1kVia+xWFEEapwNSEVvV0IHxEt8mEfF1&#10;ajvp4+vrAYnx6LyLzcX2YiIfOscaFpkCQVw703Gj4fC1nb+CCBHZYO+YNFwpwKZ8mBWYG3fmPU1V&#10;bEQK4ZCjhjbGIZcy1C1ZDJkbiBN3dN5iTNA30ng8p3Dby6VSL9Jix6mhxYHeW6p/q9FqqI0alf+e&#10;dm8/q1jdpvHE8uOk9dPjQq1BRLrEf/Gf+9NoeE7r05f0A2R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0Ap4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400" w:lineRule="exact"/>
                          <w:jc w:val="left"/>
                          <w:rPr>
                            <w:rFonts w:eastAsia="宋体"/>
                          </w:rPr>
                        </w:pPr>
                        <w:r>
                          <w:rPr>
                            <w:rFonts w:hint="eastAsia" w:eastAsia="宋体"/>
                          </w:rPr>
                          <w:t>省应急厅省委宣传部</w:t>
                        </w:r>
                      </w:p>
                      <w:p>
                        <w:pPr>
                          <w:spacing w:line="400" w:lineRule="exact"/>
                          <w:jc w:val="left"/>
                          <w:rPr>
                            <w:rFonts w:eastAsia="宋体"/>
                          </w:rPr>
                        </w:pPr>
                        <w:r>
                          <w:rPr>
                            <w:rFonts w:hint="eastAsia" w:eastAsia="宋体"/>
                          </w:rPr>
                          <w:t>属地政府</w:t>
                        </w:r>
                      </w:p>
                      <w:p>
                        <w:pPr>
                          <w:spacing w:line="400" w:lineRule="exact"/>
                          <w:jc w:val="left"/>
                          <w:rPr>
                            <w:rFonts w:eastAsia="宋体"/>
                          </w:rPr>
                        </w:pPr>
                        <w:r>
                          <w:rPr>
                            <w:rFonts w:hint="eastAsia" w:eastAsia="宋体"/>
                          </w:rPr>
                          <w:t>省广播电视局</w:t>
                        </w:r>
                      </w:p>
                      <w:p>
                        <w:pPr>
                          <w:spacing w:line="400" w:lineRule="exact"/>
                          <w:jc w:val="left"/>
                          <w:rPr>
                            <w:rFonts w:eastAsia="宋体"/>
                          </w:rPr>
                        </w:pPr>
                        <w:r>
                          <w:rPr>
                            <w:rFonts w:hint="eastAsia" w:eastAsia="宋体"/>
                          </w:rPr>
                          <w:t>省地震局</w:t>
                        </w:r>
                      </w:p>
                    </w:txbxContent>
                  </v:textbox>
                </v:roundrect>
                <v:shape id="_x0000_s1026" o:spid="_x0000_s1026" o:spt="32" type="#_x0000_t32" style="position:absolute;left:0;top:0;height:0;width:0;" filled="f" stroked="t" coordsize="21600,21600" o:gfxdata="UEsDBAoAAAAAAIdO4kAAAAAAAAAAAAAAAAAEAAAAZHJzL1BLAwQUAAAACACHTuJAY3NjfL4AAADb&#10;AAAADwAAAGRycy9kb3ducmV2LnhtbEWPT2sCMRTE7wW/Q3hCbzW7UpZ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3Njf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0;top:0;height:0;width:0;" filled="f" stroked="t" coordsize="21600,21600" o:gfxdata="UEsDBAoAAAAAAIdO4kAAAAAAAAAAAAAAAAAEAAAAZHJzL1BLAwQUAAAACACHTuJAk6H9C74AAADb&#10;AAAADwAAAGRycy9kb3ducmV2LnhtbEWPW2sCMRSE3wv+h3CEvtWsUhZ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6H9C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0;top:0;height:0;width:0;" filled="f" stroked="t" coordsize="21600,21600" o:gfxdata="UEsDBAoAAAAAAIdO4kAAAAAAAAAAAAAAAAAEAAAAZHJzL1BLAwQUAAAACACHTuJA/O1YkL4AAADb&#10;AAAADwAAAGRycy9kb3ducmV2LnhtbEWPW2sCMRSE3wv9D+EUfNOsWha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1Yk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0;top:0;height:0;width:0;" filled="f" stroked="t" coordsize="21600,21600" o:gfxdata="UEsDBAoAAAAAAIdO4kAAAAAAAAAAAAAAAAAEAAAAZHJzL1BLAwQUAAAACACHTuJAcwTA5L4AAADb&#10;AAAADwAAAGRycy9kb3ducmV2LnhtbEWPT2sCMRTE7wW/Q3iCt5pVZK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wTA5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0;top:0;height:0;width:0;" filled="f" stroked="t" coordsize="21600,21600" o:gfxdata="UEsDBAoAAAAAAIdO4kAAAAAAAAAAAAAAAAAEAAAAZHJzL1BLAwQUAAAACACHTuJAHEhlf74AAADb&#10;AAAADwAAAGRycy9kb3ducmV2LnhtbEWPW2sCMRSE3wv9D+EUfNOsY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hlf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0;top:0;height:0;width:0;" filled="f" stroked="t" coordsize="21600,21600" o:gfxdata="UEsDBAoAAAAAAIdO4kAAAAAAAAAAAAAAAAAEAAAAZHJzL1BLAwQUAAAACACHTuJA7Jr7CL8AAADb&#10;AAAADwAAAGRycy9kb3ducmV2LnhtbEWPzWrDMBCE74G8g9hAb4nsUEz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ya+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0;top:0;height:0;width:0;" filled="f" stroked="t" coordsize="21600,21600" o:gfxdata="UEsDBAoAAAAAAIdO4kAAAAAAAAAAAAAAAAAEAAAAZHJzL1BLAwQUAAAACACHTuJAg9Zek74AAADb&#10;AAAADwAAAGRycy9kb3ducmV2LnhtbEWPW2sCMRSE3wv9D+EU+qZZpax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9Zek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0;top:0;height:0;width:0;" filled="f" stroked="t" coordsize="21600,21600" o:gfxdata="UEsDBAoAAAAAAIdO4kAAAAAAAAAAAAAAAAAEAAAAZHJzL1BLAwQUAAAACACHTuJA8knK4bsAAADb&#10;AAAADwAAAGRycy9kb3ducmV2LnhtbEVPW2vCMBR+H+w/hDPY20wro2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knK4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0;top:0;height:0;width:0;" filled="f" stroked="t" coordsize="21600,21600" o:gfxdata="UEsDBAoAAAAAAIdO4kAAAAAAAAAAAAAAAAAEAAAAZHJzL1BLAwQUAAAACACHTuJAnQVver4AAADb&#10;AAAADwAAAGRycy9kb3ducmV2LnhtbEWPT2sCMRTE74V+h/CE3mpWKY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QVve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pPr>
        <w:widowControl/>
        <w:spacing w:before="100" w:beforeAutospacing="1" w:after="100" w:afterAutospacing="1" w:line="440" w:lineRule="exact"/>
        <w:ind w:firstLine="560" w:firstLineChars="200"/>
        <w:rPr>
          <w:rFonts w:ascii="仿宋_GB2312" w:eastAsia="仿宋_GB2312"/>
          <w:color w:val="auto"/>
          <w:sz w:val="28"/>
          <w:szCs w:val="28"/>
          <w:highlight w:val="none"/>
        </w:rPr>
      </w:pPr>
    </w:p>
    <w:p>
      <w:pPr>
        <w:widowControl/>
        <w:spacing w:before="100" w:beforeAutospacing="1" w:after="100" w:afterAutospacing="1" w:line="440" w:lineRule="exact"/>
        <w:ind w:firstLine="560" w:firstLineChars="200"/>
        <w:rPr>
          <w:rFonts w:ascii="仿宋_GB2312" w:eastAsia="仿宋_GB2312"/>
          <w:color w:val="auto"/>
          <w:sz w:val="28"/>
          <w:szCs w:val="28"/>
          <w:highlight w:val="none"/>
        </w:rPr>
      </w:pPr>
    </w:p>
    <w:p>
      <w:pPr>
        <w:widowControl/>
        <w:spacing w:before="100" w:beforeAutospacing="1" w:after="100" w:afterAutospacing="1" w:line="440" w:lineRule="exact"/>
        <w:ind w:firstLine="560" w:firstLineChars="200"/>
        <w:rPr>
          <w:rFonts w:ascii="仿宋_GB2312" w:eastAsia="仿宋_GB2312"/>
          <w:color w:val="auto"/>
          <w:sz w:val="28"/>
          <w:szCs w:val="28"/>
          <w:highlight w:val="none"/>
        </w:rPr>
      </w:pPr>
    </w:p>
    <w:p>
      <w:pPr>
        <w:widowControl/>
        <w:spacing w:before="100" w:beforeAutospacing="1" w:after="100" w:afterAutospacing="1" w:line="440" w:lineRule="exact"/>
        <w:ind w:firstLine="560" w:firstLineChars="200"/>
        <w:rPr>
          <w:rFonts w:ascii="仿宋_GB2312" w:eastAsia="仿宋_GB2312"/>
          <w:color w:val="auto"/>
          <w:sz w:val="28"/>
          <w:szCs w:val="28"/>
          <w:highlight w:val="none"/>
        </w:rPr>
      </w:pPr>
      <w:r>
        <w:rPr>
          <w:rFonts w:eastAsia="宋体"/>
          <w:color w:val="auto"/>
          <w:sz w:val="28"/>
          <w:highlight w:val="none"/>
        </w:rPr>
        <mc:AlternateContent>
          <mc:Choice Requires="wps">
            <w:drawing>
              <wp:anchor distT="0" distB="0" distL="114300" distR="114300" simplePos="0" relativeHeight="251660288" behindDoc="0" locked="0" layoutInCell="1" allowOverlap="1">
                <wp:simplePos x="0" y="0"/>
                <wp:positionH relativeFrom="column">
                  <wp:posOffset>-929005</wp:posOffset>
                </wp:positionH>
                <wp:positionV relativeFrom="paragraph">
                  <wp:posOffset>100330</wp:posOffset>
                </wp:positionV>
                <wp:extent cx="1132840" cy="492125"/>
                <wp:effectExtent l="0" t="0" r="0" b="0"/>
                <wp:wrapNone/>
                <wp:docPr id="67" name="圆角矩形 67"/>
                <wp:cNvGraphicFramePr/>
                <a:graphic xmlns:a="http://schemas.openxmlformats.org/drawingml/2006/main">
                  <a:graphicData uri="http://schemas.microsoft.com/office/word/2010/wordprocessingShape">
                    <wps:wsp>
                      <wps:cNvSpPr/>
                      <wps:spPr>
                        <a:xfrm>
                          <a:off x="0" y="0"/>
                          <a:ext cx="1132840" cy="492125"/>
                        </a:xfrm>
                        <a:prstGeom prst="roundRect">
                          <a:avLst>
                            <a:gd name="adj" fmla="val 16667"/>
                          </a:avLst>
                        </a:prstGeom>
                        <a:noFill/>
                        <a:ln>
                          <a:noFill/>
                        </a:ln>
                      </wps:spPr>
                      <wps:txbx>
                        <w:txbxContent>
                          <w:p>
                            <w:pPr>
                              <w:rPr>
                                <w:rFonts w:eastAsia="宋体"/>
                                <w:b/>
                                <w:bCs w:val="0"/>
                                <w:sz w:val="28"/>
                                <w:szCs w:val="28"/>
                              </w:rPr>
                            </w:pPr>
                            <w:r>
                              <w:rPr>
                                <w:rFonts w:hint="eastAsia" w:ascii="仿宋_GB2312" w:hAnsi="仿宋_GB2312" w:eastAsia="仿宋_GB2312" w:cs="仿宋_GB2312"/>
                                <w:b/>
                                <w:bCs w:val="0"/>
                                <w:color w:val="auto"/>
                                <w:sz w:val="28"/>
                                <w:szCs w:val="28"/>
                                <w:highlight w:val="none"/>
                              </w:rPr>
                              <w:t>应急工作组</w:t>
                            </w:r>
                          </w:p>
                        </w:txbxContent>
                      </wps:txbx>
                      <wps:bodyPr upright="1"/>
                    </wps:wsp>
                  </a:graphicData>
                </a:graphic>
              </wp:anchor>
            </w:drawing>
          </mc:Choice>
          <mc:Fallback>
            <w:pict>
              <v:roundrect id="_x0000_s1026" o:spid="_x0000_s1026" o:spt="2" style="position:absolute;left:0pt;margin-left:-73.15pt;margin-top:7.9pt;height:38.75pt;width:89.2pt;z-index:251660288;mso-width-relative:page;mso-height-relative:page;" filled="f" stroked="f" coordsize="21600,21600" arcsize="0.166666666666667" o:gfxdata="UEsDBAoAAAAAAIdO4kAAAAAAAAAAAAAAAAAEAAAAZHJzL1BLAwQUAAAACACHTuJAxQeMgdgAAAAJ&#10;AQAADwAAAGRycy9kb3ducmV2LnhtbE2Py07DMBBF90j8gzVI7Fo7NbQQ4lQ8xAoVROED3NgkAXsc&#10;2U4b+vUMK1iO7tGdc6v15B3b25j6gAqKuQBmsQmmx1bB+9vj7ApYyhqNdgGtgm+bYF2fnlS6NOGA&#10;r3a/zS2jEkylVtDlPJScp6azXqd5GCxS9hGi15nO2HIT9YHKveMLIZbc6x7pQ6cHe9/Z5ms7egWf&#10;7oG/3Ak/rlr3PG2eVsd4K49KnZ8V4gZYtlP+g+FXn9ShJqddGNEk5hTMioulJJaSS9pAhFwUwHYK&#10;rqUEXlf8/4L6B1BLAwQUAAAACACHTuJAjF9lJcoBAAB6AwAADgAAAGRycy9lMm9Eb2MueG1srVNL&#10;bhQxEN0j5Q6W9xlPd8IQWtOTzSjZIIgIHMDjz7SRf7I90z0X4ACskZDYIA6R40RwDMruZgJhkwUb&#10;d1W5/Pzeq/bycjAa7UWIytkWV7M5RsIyx5Xdtvj9u6vTC4xiopZT7axo8UFEfLk6ebbsfSNq1znN&#10;RUAAYmPT+xZ3KfmGkMg6YWicOS8sbEoXDE2Qhi3hgfaAbjSp5/MF6V3gPjgmYoTqetzEE2J4CqCT&#10;UjGxdmxnhE0jahCaJpAUO+UjXhW2UgqW3kgZRUK6xaA0lRUugXiTV7Ja0mYbqO8UmyjQp1B4pMlQ&#10;ZeHSI9SaJop2Qf0DZRQLLjqZZswZMgopjoCKav7Im9uOelG0gNXRH02P/w+Wvd7fBKR4ixcvMLLU&#10;wMTvP3/8+e3Tjy/f7+++IiiDR72PDbTe+pswZRHCLHiQweQvSEFD8fVw9FUMCTEoVtVZfXEOljPY&#10;O39ZV/XzDEoeTvsQ07VwBuWgxcHtLH8Lwyue0v2rmIq5fGJI+QeMpNEwqj3VqFosRpqAODVD9Bsz&#10;n7TuSmldhq3tXwVozBWSFY6acpSGzTAJ3Th+AIt2PqhtB9yqQj03wUiKiOn3yTP/My+gD09m9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FB4yB2AAAAAkBAAAPAAAAAAAAAAEAIAAAACIAAABkcnMv&#10;ZG93bnJldi54bWxQSwECFAAUAAAACACHTuJAjF9lJcoBAAB6AwAADgAAAAAAAAABACAAAAAnAQAA&#10;ZHJzL2Uyb0RvYy54bWxQSwUGAAAAAAYABgBZAQAAYwUAAAAA&#10;">
                <v:fill on="f" focussize="0,0"/>
                <v:stroke on="f"/>
                <v:imagedata o:title=""/>
                <o:lock v:ext="edit" aspectratio="f"/>
                <v:textbox>
                  <w:txbxContent>
                    <w:p>
                      <w:pPr>
                        <w:rPr>
                          <w:rFonts w:eastAsia="宋体"/>
                          <w:b/>
                          <w:bCs w:val="0"/>
                          <w:sz w:val="28"/>
                          <w:szCs w:val="28"/>
                        </w:rPr>
                      </w:pPr>
                      <w:r>
                        <w:rPr>
                          <w:rFonts w:hint="eastAsia" w:ascii="仿宋_GB2312" w:hAnsi="仿宋_GB2312" w:eastAsia="仿宋_GB2312" w:cs="仿宋_GB2312"/>
                          <w:b/>
                          <w:bCs w:val="0"/>
                          <w:color w:val="auto"/>
                          <w:sz w:val="28"/>
                          <w:szCs w:val="28"/>
                          <w:highlight w:val="none"/>
                        </w:rPr>
                        <w:t>应急工作组</w:t>
                      </w:r>
                    </w:p>
                  </w:txbxContent>
                </v:textbox>
              </v:roundrect>
            </w:pict>
          </mc:Fallback>
        </mc:AlternateContent>
      </w:r>
    </w:p>
    <w:p>
      <w:pPr>
        <w:widowControl/>
        <w:spacing w:before="100" w:beforeAutospacing="1" w:after="100" w:afterAutospacing="1" w:line="440" w:lineRule="exact"/>
        <w:ind w:firstLine="560" w:firstLineChars="200"/>
        <w:rPr>
          <w:rFonts w:ascii="仿宋_GB2312" w:eastAsia="仿宋_GB2312"/>
          <w:color w:val="auto"/>
          <w:sz w:val="28"/>
          <w:szCs w:val="28"/>
          <w:highlight w:val="none"/>
        </w:rPr>
      </w:pPr>
    </w:p>
    <w:p>
      <w:pPr>
        <w:widowControl/>
        <w:spacing w:before="100" w:beforeAutospacing="1" w:after="100" w:afterAutospacing="1" w:line="440" w:lineRule="exact"/>
        <w:ind w:firstLine="420" w:firstLineChars="200"/>
        <w:rPr>
          <w:rFonts w:ascii="仿宋_GB2312" w:eastAsia="仿宋_GB2312"/>
          <w:color w:val="auto"/>
          <w:sz w:val="28"/>
          <w:szCs w:val="28"/>
          <w:highlight w:val="none"/>
        </w:rPr>
      </w:pPr>
      <w:r>
        <w:rPr>
          <w:sz w:val="21"/>
        </w:rPr>
        <mc:AlternateContent>
          <mc:Choice Requires="wpg">
            <w:drawing>
              <wp:anchor distT="0" distB="0" distL="114300" distR="114300" simplePos="0" relativeHeight="251672576" behindDoc="0" locked="0" layoutInCell="1" allowOverlap="1">
                <wp:simplePos x="0" y="0"/>
                <wp:positionH relativeFrom="column">
                  <wp:posOffset>163195</wp:posOffset>
                </wp:positionH>
                <wp:positionV relativeFrom="paragraph">
                  <wp:posOffset>149225</wp:posOffset>
                </wp:positionV>
                <wp:extent cx="13547090" cy="4919345"/>
                <wp:effectExtent l="6350" t="0" r="10160" b="14605"/>
                <wp:wrapNone/>
                <wp:docPr id="185" name="组合 185"/>
                <wp:cNvGraphicFramePr/>
                <a:graphic xmlns:a="http://schemas.openxmlformats.org/drawingml/2006/main">
                  <a:graphicData uri="http://schemas.microsoft.com/office/word/2010/wordprocessingGroup">
                    <wpg:wgp>
                      <wpg:cNvGrpSpPr/>
                      <wpg:grpSpPr>
                        <a:xfrm>
                          <a:off x="0" y="0"/>
                          <a:ext cx="13547090" cy="4919345"/>
                          <a:chOff x="1778" y="574414"/>
                          <a:chExt cx="21334" cy="7747"/>
                        </a:xfrm>
                      </wpg:grpSpPr>
                      <wpg:grpSp>
                        <wpg:cNvPr id="170" name="组合 170"/>
                        <wpg:cNvGrpSpPr/>
                        <wpg:grpSpPr>
                          <a:xfrm>
                            <a:off x="1778" y="574445"/>
                            <a:ext cx="21335" cy="7717"/>
                            <a:chOff x="1759" y="573838"/>
                            <a:chExt cx="21335" cy="7717"/>
                          </a:xfrm>
                        </wpg:grpSpPr>
                        <wps:wsp>
                          <wps:cNvPr id="86" name="直接箭头连接符 86"/>
                          <wps:cNvCnPr/>
                          <wps:spPr>
                            <a:xfrm flipH="1">
                              <a:off x="5074" y="573838"/>
                              <a:ext cx="10" cy="1045"/>
                            </a:xfrm>
                            <a:prstGeom prst="straightConnector1">
                              <a:avLst/>
                            </a:prstGeom>
                            <a:ln w="15875" cap="flat" cmpd="sng">
                              <a:solidFill>
                                <a:srgbClr val="000000"/>
                              </a:solidFill>
                              <a:prstDash val="solid"/>
                              <a:headEnd type="none" w="med" len="med"/>
                              <a:tailEnd type="triangle" w="med" len="med"/>
                            </a:ln>
                          </wps:spPr>
                          <wps:bodyPr/>
                        </wps:wsp>
                        <wps:wsp>
                          <wps:cNvPr id="87" name="矩形 87"/>
                          <wps:cNvSpPr/>
                          <wps:spPr>
                            <a:xfrm>
                              <a:off x="1759" y="574512"/>
                              <a:ext cx="21335" cy="7043"/>
                            </a:xfrm>
                            <a:prstGeom prst="rect">
                              <a:avLst/>
                            </a:prstGeom>
                            <a:noFill/>
                            <a:ln w="12700" cap="flat" cmpd="sng">
                              <a:solidFill>
                                <a:srgbClr val="000000"/>
                              </a:solidFill>
                              <a:prstDash val="lgDash"/>
                              <a:miter/>
                              <a:headEnd type="none" w="med" len="med"/>
                              <a:tailEnd type="none" w="med" len="med"/>
                            </a:ln>
                          </wps:spPr>
                          <wps:bodyPr upright="1"/>
                        </wps:wsp>
                        <wps:wsp>
                          <wps:cNvPr id="88" name="圆角矩形 88"/>
                          <wps:cNvSpPr/>
                          <wps:spPr>
                            <a:xfrm>
                              <a:off x="14813" y="574914"/>
                              <a:ext cx="2190" cy="6587"/>
                            </a:xfrm>
                            <a:prstGeom prst="roundRect">
                              <a:avLst>
                                <a:gd name="adj" fmla="val 16667"/>
                              </a:avLst>
                            </a:prstGeom>
                            <a:noFill/>
                            <a:ln w="952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属地政府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州发展改革委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州工业和信息化局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w:t>
                                </w:r>
                                <w:r>
                                  <w:rPr>
                                    <w:rFonts w:hint="eastAsia" w:ascii="仿宋_GB2312" w:hAnsi="仿宋_GB2312" w:eastAsia="仿宋_GB2312" w:cs="仿宋_GB2312"/>
                                    <w:b w:val="0"/>
                                    <w:bCs/>
                                    <w:color w:val="auto"/>
                                    <w:sz w:val="24"/>
                                    <w:szCs w:val="24"/>
                                    <w:highlight w:val="none"/>
                                    <w:lang w:val="en-US" w:eastAsia="zh-CN"/>
                                  </w:rPr>
                                  <w:t>商务</w:t>
                                </w:r>
                                <w:r>
                                  <w:rPr>
                                    <w:rFonts w:hint="eastAsia" w:ascii="仿宋_GB2312" w:hAnsi="仿宋_GB2312" w:eastAsia="仿宋_GB2312" w:cs="仿宋_GB2312"/>
                                    <w:b w:val="0"/>
                                    <w:bCs/>
                                    <w:color w:val="auto"/>
                                    <w:sz w:val="24"/>
                                    <w:szCs w:val="24"/>
                                    <w:highlight w:val="none"/>
                                  </w:rPr>
                                  <w:t>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州财政局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州住房城乡建设局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州交通运输局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凯里供电局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移动黔东南分公司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电信黔东南分公司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联通黔东南分公司</w:t>
                                </w:r>
                              </w:p>
                            </w:txbxContent>
                          </wps:txbx>
                          <wps:bodyPr upright="1"/>
                        </wps:wsp>
                        <wps:wsp>
                          <wps:cNvPr id="96" name="圆角矩形 96"/>
                          <wps:cNvSpPr/>
                          <wps:spPr>
                            <a:xfrm>
                              <a:off x="1849" y="574895"/>
                              <a:ext cx="1945" cy="6602"/>
                            </a:xfrm>
                            <a:prstGeom prst="roundRect">
                              <a:avLst>
                                <a:gd name="adj" fmla="val 16667"/>
                              </a:avLst>
                            </a:prstGeom>
                            <a:noFill/>
                            <a:ln w="952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州生态环境局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州应急管理局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属地政府</w:t>
                                </w:r>
                              </w:p>
                              <w:p>
                                <w:pPr>
                                  <w:spacing w:line="400" w:lineRule="exact"/>
                                  <w:jc w:val="left"/>
                                  <w:rPr>
                                    <w:rFonts w:hint="eastAsia" w:ascii="宋体" w:hAnsi="宋体" w:eastAsia="宋体" w:cs="宋体"/>
                                    <w:szCs w:val="21"/>
                                  </w:rPr>
                                </w:pPr>
                              </w:p>
                            </w:txbxContent>
                          </wps:txbx>
                          <wps:bodyPr upright="1"/>
                        </wps:wsp>
                        <wps:wsp>
                          <wps:cNvPr id="92" name="圆角矩形 92"/>
                          <wps:cNvSpPr/>
                          <wps:spPr>
                            <a:xfrm>
                              <a:off x="12679" y="574906"/>
                              <a:ext cx="1950" cy="6602"/>
                            </a:xfrm>
                            <a:prstGeom prst="roundRect">
                              <a:avLst>
                                <a:gd name="adj" fmla="val 16667"/>
                              </a:avLst>
                            </a:prstGeom>
                            <a:noFill/>
                            <a:ln w="952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属地政府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州委政法委员会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州公安局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州民政局</w:t>
                                </w:r>
                              </w:p>
                            </w:txbxContent>
                          </wps:txbx>
                          <wps:bodyPr upright="1"/>
                        </wps:wsp>
                        <wps:wsp>
                          <wps:cNvPr id="95" name="圆角矩形 95"/>
                          <wps:cNvSpPr/>
                          <wps:spPr>
                            <a:xfrm>
                              <a:off x="8470" y="574903"/>
                              <a:ext cx="2040" cy="6581"/>
                            </a:xfrm>
                            <a:prstGeom prst="roundRect">
                              <a:avLst>
                                <a:gd name="adj" fmla="val 16667"/>
                              </a:avLst>
                            </a:prstGeom>
                            <a:noFill/>
                            <a:ln w="952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属地政府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州生态环境局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州气象局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州自然资源局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州水务局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州水文水资源局</w:t>
                                </w:r>
                              </w:p>
                              <w:p>
                                <w:pPr>
                                  <w:spacing w:line="400" w:lineRule="exact"/>
                                  <w:jc w:val="left"/>
                                  <w:rPr>
                                    <w:rFonts w:eastAsia="宋体"/>
                                  </w:rPr>
                                </w:pPr>
                              </w:p>
                            </w:txbxContent>
                          </wps:txbx>
                          <wps:bodyPr upright="1"/>
                        </wps:wsp>
                        <wps:wsp>
                          <wps:cNvPr id="94" name="圆角矩形 94"/>
                          <wps:cNvSpPr/>
                          <wps:spPr>
                            <a:xfrm>
                              <a:off x="4034" y="574906"/>
                              <a:ext cx="2209" cy="6575"/>
                            </a:xfrm>
                            <a:prstGeom prst="roundRect">
                              <a:avLst>
                                <a:gd name="adj" fmla="val 16667"/>
                              </a:avLst>
                            </a:prstGeom>
                            <a:noFill/>
                            <a:ln w="952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属地政府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州生态环境局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州应急管理局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州发展改革委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州教育局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州工业和信息化局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州公安局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州交通运输局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州农业农村局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州水务局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州自然资源局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州卫生健康局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州林业局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州文体广电旅游局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州水文水资源局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凯里军分区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州消防救援支队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州武警支队</w:t>
                                </w:r>
                              </w:p>
                            </w:txbxContent>
                          </wps:txbx>
                          <wps:bodyPr upright="1"/>
                        </wps:wsp>
                        <wps:wsp>
                          <wps:cNvPr id="82" name="圆角矩形 82"/>
                          <wps:cNvSpPr/>
                          <wps:spPr>
                            <a:xfrm>
                              <a:off x="19151" y="574901"/>
                              <a:ext cx="1710" cy="6595"/>
                            </a:xfrm>
                            <a:prstGeom prst="roundRect">
                              <a:avLst>
                                <a:gd name="adj" fmla="val 16667"/>
                              </a:avLst>
                            </a:prstGeom>
                            <a:noFill/>
                            <a:ln w="952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属地政府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州应急管理局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州生态环境局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州发展改革委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州财政局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州农业农村局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州卫生健康局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州民政局</w:t>
                                </w:r>
                              </w:p>
                            </w:txbxContent>
                          </wps:txbx>
                          <wps:bodyPr upright="1"/>
                        </wps:wsp>
                        <wps:wsp>
                          <wps:cNvPr id="93" name="圆角矩形 93"/>
                          <wps:cNvSpPr/>
                          <wps:spPr>
                            <a:xfrm>
                              <a:off x="21080" y="574904"/>
                              <a:ext cx="1945" cy="6590"/>
                            </a:xfrm>
                            <a:prstGeom prst="roundRect">
                              <a:avLst>
                                <a:gd name="adj" fmla="val 16667"/>
                              </a:avLst>
                            </a:prstGeom>
                            <a:noFill/>
                            <a:ln w="952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州委宣传部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州应急管理局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州生态环境局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属地政府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州文体广电旅游局</w:t>
                                </w:r>
                              </w:p>
                            </w:txbxContent>
                          </wps:txbx>
                          <wps:bodyPr upright="1"/>
                        </wps:wsp>
                        <wps:wsp>
                          <wps:cNvPr id="91" name="圆角矩形 91"/>
                          <wps:cNvSpPr/>
                          <wps:spPr>
                            <a:xfrm>
                              <a:off x="17217" y="574920"/>
                              <a:ext cx="1710" cy="6587"/>
                            </a:xfrm>
                            <a:prstGeom prst="roundRect">
                              <a:avLst>
                                <a:gd name="adj" fmla="val 16667"/>
                              </a:avLst>
                            </a:prstGeom>
                            <a:noFill/>
                            <a:ln w="952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州生态环境局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属地政府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州应急管理局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州公安局</w:t>
                                </w:r>
                              </w:p>
                            </w:txbxContent>
                          </wps:txbx>
                          <wps:bodyPr upright="1"/>
                        </wps:wsp>
                        <wps:wsp>
                          <wps:cNvPr id="80" name="圆角矩形 80"/>
                          <wps:cNvSpPr/>
                          <wps:spPr>
                            <a:xfrm>
                              <a:off x="10741" y="574903"/>
                              <a:ext cx="1712" cy="6595"/>
                            </a:xfrm>
                            <a:prstGeom prst="roundRect">
                              <a:avLst>
                                <a:gd name="adj" fmla="val 16667"/>
                              </a:avLst>
                            </a:prstGeom>
                            <a:noFill/>
                            <a:ln w="952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属地政府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州卫生健康局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医疗卫生机构</w:t>
                                </w:r>
                              </w:p>
                            </w:txbxContent>
                          </wps:txbx>
                          <wps:bodyPr upright="1"/>
                        </wps:wsp>
                      </wpg:grpSp>
                      <wps:wsp>
                        <wps:cNvPr id="176" name="直接箭头连接符 176"/>
                        <wps:cNvCnPr/>
                        <wps:spPr>
                          <a:xfrm flipH="1">
                            <a:off x="2840" y="574422"/>
                            <a:ext cx="10" cy="1045"/>
                          </a:xfrm>
                          <a:prstGeom prst="straightConnector1">
                            <a:avLst/>
                          </a:prstGeom>
                          <a:ln w="15875" cap="flat" cmpd="sng">
                            <a:solidFill>
                              <a:srgbClr val="000000"/>
                            </a:solidFill>
                            <a:prstDash val="solid"/>
                            <a:headEnd type="none" w="med" len="med"/>
                            <a:tailEnd type="triangle" w="med" len="med"/>
                          </a:ln>
                        </wps:spPr>
                        <wps:bodyPr/>
                      </wps:wsp>
                      <wps:wsp>
                        <wps:cNvPr id="177" name="直接箭头连接符 177"/>
                        <wps:cNvCnPr/>
                        <wps:spPr>
                          <a:xfrm flipH="1">
                            <a:off x="7377" y="574426"/>
                            <a:ext cx="10" cy="1045"/>
                          </a:xfrm>
                          <a:prstGeom prst="straightConnector1">
                            <a:avLst/>
                          </a:prstGeom>
                          <a:ln w="15875" cap="flat" cmpd="sng">
                            <a:solidFill>
                              <a:srgbClr val="000000"/>
                            </a:solidFill>
                            <a:prstDash val="solid"/>
                            <a:headEnd type="none" w="med" len="med"/>
                            <a:tailEnd type="triangle" w="med" len="med"/>
                          </a:ln>
                        </wps:spPr>
                        <wps:bodyPr/>
                      </wps:wsp>
                      <wps:wsp>
                        <wps:cNvPr id="178" name="直接箭头连接符 178"/>
                        <wps:cNvCnPr/>
                        <wps:spPr>
                          <a:xfrm flipH="1">
                            <a:off x="9492" y="574437"/>
                            <a:ext cx="10" cy="1045"/>
                          </a:xfrm>
                          <a:prstGeom prst="straightConnector1">
                            <a:avLst/>
                          </a:prstGeom>
                          <a:ln w="15875" cap="flat" cmpd="sng">
                            <a:solidFill>
                              <a:srgbClr val="000000"/>
                            </a:solidFill>
                            <a:prstDash val="solid"/>
                            <a:headEnd type="none" w="med" len="med"/>
                            <a:tailEnd type="triangle" w="med" len="med"/>
                          </a:ln>
                        </wps:spPr>
                        <wps:bodyPr/>
                      </wps:wsp>
                      <wps:wsp>
                        <wps:cNvPr id="179" name="直接箭头连接符 179"/>
                        <wps:cNvCnPr/>
                        <wps:spPr>
                          <a:xfrm flipH="1">
                            <a:off x="11592" y="574437"/>
                            <a:ext cx="10" cy="1045"/>
                          </a:xfrm>
                          <a:prstGeom prst="straightConnector1">
                            <a:avLst/>
                          </a:prstGeom>
                          <a:ln w="15875" cap="flat" cmpd="sng">
                            <a:solidFill>
                              <a:srgbClr val="000000"/>
                            </a:solidFill>
                            <a:prstDash val="solid"/>
                            <a:headEnd type="none" w="med" len="med"/>
                            <a:tailEnd type="triangle" w="med" len="med"/>
                          </a:ln>
                        </wps:spPr>
                        <wps:bodyPr/>
                      </wps:wsp>
                      <wps:wsp>
                        <wps:cNvPr id="180" name="直接箭头连接符 180"/>
                        <wps:cNvCnPr/>
                        <wps:spPr>
                          <a:xfrm flipH="1">
                            <a:off x="13674" y="574437"/>
                            <a:ext cx="10" cy="1045"/>
                          </a:xfrm>
                          <a:prstGeom prst="straightConnector1">
                            <a:avLst/>
                          </a:prstGeom>
                          <a:ln w="15875" cap="flat" cmpd="sng">
                            <a:solidFill>
                              <a:srgbClr val="000000"/>
                            </a:solidFill>
                            <a:prstDash val="solid"/>
                            <a:headEnd type="none" w="med" len="med"/>
                            <a:tailEnd type="triangle" w="med" len="med"/>
                          </a:ln>
                        </wps:spPr>
                        <wps:bodyPr/>
                      </wps:wsp>
                      <wps:wsp>
                        <wps:cNvPr id="181" name="直接箭头连接符 181"/>
                        <wps:cNvCnPr/>
                        <wps:spPr>
                          <a:xfrm flipH="1">
                            <a:off x="15905" y="574437"/>
                            <a:ext cx="10" cy="1045"/>
                          </a:xfrm>
                          <a:prstGeom prst="straightConnector1">
                            <a:avLst/>
                          </a:prstGeom>
                          <a:ln w="15875" cap="flat" cmpd="sng">
                            <a:solidFill>
                              <a:srgbClr val="000000"/>
                            </a:solidFill>
                            <a:prstDash val="solid"/>
                            <a:headEnd type="none" w="med" len="med"/>
                            <a:tailEnd type="triangle" w="med" len="med"/>
                          </a:ln>
                        </wps:spPr>
                        <wps:bodyPr/>
                      </wps:wsp>
                      <wps:wsp>
                        <wps:cNvPr id="182" name="直接箭头连接符 182"/>
                        <wps:cNvCnPr/>
                        <wps:spPr>
                          <a:xfrm flipH="1">
                            <a:off x="18077" y="574434"/>
                            <a:ext cx="10" cy="1045"/>
                          </a:xfrm>
                          <a:prstGeom prst="straightConnector1">
                            <a:avLst/>
                          </a:prstGeom>
                          <a:ln w="15875" cap="flat" cmpd="sng">
                            <a:solidFill>
                              <a:srgbClr val="000000"/>
                            </a:solidFill>
                            <a:prstDash val="solid"/>
                            <a:headEnd type="none" w="med" len="med"/>
                            <a:tailEnd type="triangle" w="med" len="med"/>
                          </a:ln>
                        </wps:spPr>
                        <wps:bodyPr/>
                      </wps:wsp>
                      <wps:wsp>
                        <wps:cNvPr id="183" name="直接箭头连接符 183"/>
                        <wps:cNvCnPr/>
                        <wps:spPr>
                          <a:xfrm flipH="1">
                            <a:off x="20009" y="574414"/>
                            <a:ext cx="10" cy="1045"/>
                          </a:xfrm>
                          <a:prstGeom prst="straightConnector1">
                            <a:avLst/>
                          </a:prstGeom>
                          <a:ln w="15875" cap="flat" cmpd="sng">
                            <a:solidFill>
                              <a:srgbClr val="000000"/>
                            </a:solidFill>
                            <a:prstDash val="solid"/>
                            <a:headEnd type="none" w="med" len="med"/>
                            <a:tailEnd type="triangle" w="med" len="med"/>
                          </a:ln>
                        </wps:spPr>
                        <wps:bodyPr/>
                      </wps:wsp>
                      <wps:wsp>
                        <wps:cNvPr id="184" name="直接箭头连接符 184"/>
                        <wps:cNvCnPr/>
                        <wps:spPr>
                          <a:xfrm flipH="1">
                            <a:off x="22049" y="574429"/>
                            <a:ext cx="10" cy="1045"/>
                          </a:xfrm>
                          <a:prstGeom prst="straightConnector1">
                            <a:avLst/>
                          </a:prstGeom>
                          <a:ln w="1587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12.85pt;margin-top:11.75pt;height:387.35pt;width:1066.7pt;z-index:251672576;mso-width-relative:page;mso-height-relative:page;" coordorigin="1778,574414" coordsize="21334,7747" o:gfxdata="UEsDBAoAAAAAAIdO4kAAAAAAAAAAAAAAAAAEAAAAZHJzL1BLAwQUAAAACACHTuJAqlTaCdsAAAAK&#10;AQAADwAAAGRycy9kb3ducmV2LnhtbE2PQUvDQBCF74L/YRnBm91sSmwbsylS1FMRbAXxNs1Ok9Ds&#10;bshuk/bfO5709Bje471vivXFdmKkIbTeaVCzBAS5ypvW1Ro+968PSxAhojPYeUcarhRgXd7eFJgb&#10;P7kPGnexFlziQo4amhj7XMpQNWQxzHxPjr2jHyxGPodamgEnLredTJPkUVpsHS802NOmoeq0O1sN&#10;bxNOz3P1Mm5Px831e5+9f20VaX1/p5InEJEu8S8Mv/iMDiUzHfzZmSA6DWm24CTrPAPBfqqylQJx&#10;0LBYLVOQZSH/v1D+AFBLAwQUAAAACACHTuJAa1kGLtEFAAD5MAAADgAAAGRycy9lMm9Eb2MueG1s&#10;7ZvLbuREFIb3SLyD5T1pl9t3pTOLZCYsEIwYeICKb23km6qcdGePECuE2IJAQlyEBKxmhxBPEzKP&#10;walyle3utHvagcmMkWcx4/alXHXqq/+cOsdz/GidpcpVSGhS5AsVHWmqEuZ+ESR5vFA//ujJO46q&#10;0ArnAU6LPFyo1yFVH528/dbxqvRCvVgWaRASBRrJqbcqF+qyqkpvNqP+MswwPSrKMIeLUUEyXMFP&#10;Es8CglfQepbOdE2zZquCBCUp/JBSOHtWX1RFi+SQBosoSvzwrPAvszCv6lZJmOIKhkSXSUnVE97b&#10;KAr96oMoomGlpAsVRlrxv+ElcHzB/p6dHGMvJrhcJr7oAj6kC1tjynCSw0ubps5whZVLktxpKkt8&#10;UtAiqo78IpvVA+EWgVEgbcs256S4LPlYYm8Vl43RYaK2rH7vZv33r54SJQmABMdUlRxnMOW3f3x6&#10;8+XnCjsD9lmVsQe3nZPyWfmUiBNx/YsNeR2RjP0Lg1HW3LLXjWXDdaX4cBLNTcPWXLC6DxcNF7lz&#10;gzeOPX8JM8QeRLYN6MFl0zYMZNRT4y8fiyZ0NJ8b9fO2bdjs8ky+fMb62HSp+fGKDWbDcDYNBmeG&#10;G2xj3NIq0nBs1DAvzGq2jfioN0xmusJkc2fu7DLZ1sO9JoPFTFvC6L8j7NkSlyEHlzJ0BGGO1djr&#10;6+d/f/Hj7e+/3fzw/MVf37LjX39S4Dq3Hn/mNBesUY8CdhI0JUqT8l2Aha82gZyp2UAGJ6c1g7Qg&#10;EtAhrbZtYwHslYRW52GRKexgodKK4CReVqdFnoNwFKR+Cb56j1Y1bfIB1ps0V1bQD9OxmYkxKGEE&#10;CgSHWQmrieYx7yEt0iR4kqQpe4SS+OI0JcoVZmrE/wiMN25jbznDdFnfxy/VM7sMcfA4D5TquoRV&#10;moM8q6wPWRioShqCmrMj6Cn2Kpyk7Z0VSXAepz13g0HSHBbTqpSmZkcXRXDNZ4CfBzaYEDwEJHYD&#10;yXe/3Pz5veJw6Nm7gaRGgWRXpQI08oPsZkkYJtJrc0gWuqtJM+bC+FLA5OwKHAgwwOewB4C8YPPK&#10;zS1Y0G2NwfbqWEhjxkU9piypQsLffl8s+gHah4RyWRK2StgaZKtCUPFQeICLqDX35pvPXvz81a2A&#10;hGvf4ZAYDppLX+NKX9NSIh2VBav7JZAUl3nw4QYpbP3FgeglDj5RlShLIaiAVa8gy7Jkixwr7sQk&#10;eOzJO1S5pv7GC8xQkqr1xRrYYfNV68zrhcptHNMGVHBadPIw5XEM6YwNxxXRjWQKueB9uBu3LI2r&#10;Ur8fgqhvYmqPe9utTm8aU/pOoXL53B8uVLplN1C5GgcSey1UpghuJqgOi4TGLlSgITu8Xy02B0Pl&#10;wFascX4aj4JapnTNkEyZTu3h2xhLOioZIU1CtTcOH4dQwdZpF1N8A34wU4bGNuf15v2OTum6BiLG&#10;9rCWCbslFjVOTO3dsY1cp5zdzg9ODwqoXGSiFiouRq1QIVvu7C2zFsAJqv1pgJFD5cKObZdQcQd2&#10;sFDpSHM63k+kGduIqgnTTdgETkr10tzS2KECgdkFFRebg6FCtg65Wen+dFFWaKDqKNWUTzgkYTly&#10;qJjA7IAKTg9yf5DV7ri/rTgd3B842Tqmmtzf64WqLT89UBYU2U3G6nZnKYXd0LI2pJaiO2z/Vwfy&#10;hr6VP5cR11RLGUUtBSqLUoj6MOkWV4ZgYs9Z2xKT7byUyCBMmIwEk6ao0odJt7wyBBPXgISnxGTO&#10;Yevs4CZMxlSZRSwTXYc1fZi493Q6CJkTJ/+XCj5qw98eTjYC4SFyguZW86WHYUx6MuovPRCUF/br&#10;SV1/ELvwQZxA8gZKJSI8mTgZOSdNNrlPT7p55UGcOFonjIUKBuyZpvhkpF+OIadJEPdx0k0VD+EE&#10;vltmFSyhJ9vfC027YnVUcazTVDz7OOnWPgdxAtXzlhOdh8OTnvz3esITbvBFPC8ki6/32Sf33d9w&#10;3P0fCyf/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UIAABbQ29udGVudF9UeXBlc10ueG1sUEsBAhQACgAAAAAAh07iQAAAAAAAAAAAAAAAAAYA&#10;AAAAAAAAAAAQAAAAJwcAAF9yZWxzL1BLAQIUABQAAAAIAIdO4kCKFGY80QAAAJQBAAALAAAAAAAA&#10;AAEAIAAAAEsHAABfcmVscy8ucmVsc1BLAQIUAAoAAAAAAIdO4kAAAAAAAAAAAAAAAAAEAAAAAAAA&#10;AAAAEAAAAAAAAABkcnMvUEsBAhQAFAAAAAgAh07iQKpU2gnbAAAACgEAAA8AAAAAAAAAAQAgAAAA&#10;IgAAAGRycy9kb3ducmV2LnhtbFBLAQIUABQAAAAIAIdO4kBrWQYu0QUAAPkwAAAOAAAAAAAAAAEA&#10;IAAAACoBAABkcnMvZTJvRG9jLnhtbFBLBQYAAAAABgAGAFkBAABtCQAAAAA=&#10;">
                <o:lock v:ext="edit" aspectratio="f"/>
                <v:group id="_x0000_s1026" o:spid="_x0000_s1026" o:spt="203" style="position:absolute;left:1778;top:574445;height:7717;width:21335;" coordorigin="1759,573838" coordsize="21335,7717" o:gfxdata="UEsDBAoAAAAAAIdO4kAAAAAAAAAAAAAAAAAEAAAAZHJzL1BLAwQUAAAACACHTuJA1ZzurL8AAADc&#10;AAAADwAAAGRycy9kb3ducmV2LnhtbEWPQWvCQBCF7wX/wzJCb3UTS1uJriKipQcpVAXxNmTHJJid&#10;Ddk10X/fOQjeZnhv3vtmtri5WnXUhsqzgXSUgCLOva24MHDYb94moEJEtlh7JgN3CrCYD15mmFnf&#10;8x91u1goCeGQoYEyxibTOuQlOQwj3xCLdvatwyhrW2jbYi/hrtbjJPnUDiuWhhIbWpWUX3ZXZ+C7&#10;x375nq677eW8up/2H7/HbUrGvA7TZAoq0i0+zY/rHyv4X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VnO6svwAAANw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5074;top:573838;flip:x;height:1045;width:10;" filled="f" stroked="t" coordsize="21600,21600" o:gfxdata="UEsDBAoAAAAAAIdO4kAAAAAAAAAAAAAAAAAEAAAAZHJzL1BLAwQUAAAACACHTuJA2MRCl8AAAADb&#10;AAAADwAAAGRycy9kb3ducmV2LnhtbEWPS2vDMBCE74H+B7GF3hI5hqbGiZJDwZAcSptHQ4+LtX6k&#10;1spYqu3210eBQo7DzHzDrDajaURPnastK5jPIhDEudU1lwpOx2yagHAeWWNjmRT8koPN+mGywlTb&#10;gffUH3wpAoRdigoq79tUSpdXZNDNbEscvMJ2Bn2QXSl1h0OAm0bGUbSQBmsOCxW29FpR/n34MQr2&#10;l2ORveHn38c5Hr5e3vPn4ix3Sj09zqMlCE+jv4f/21utIFnA7Uv4AXJ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xEKX&#10;wAAAANsAAAAPAAAAAAAAAAEAIAAAACIAAABkcnMvZG93bnJldi54bWxQSwECFAAUAAAACACHTuJA&#10;My8FnjsAAAA5AAAAEAAAAAAAAAABACAAAAAPAQAAZHJzL3NoYXBleG1sLnhtbFBLBQYAAAAABgAG&#10;AFsBAAC5AwAAAAA=&#10;">
                    <v:fill on="f" focussize="0,0"/>
                    <v:stroke weight="1.25pt" color="#000000" joinstyle="round" endarrow="block"/>
                    <v:imagedata o:title=""/>
                    <o:lock v:ext="edit" aspectratio="f"/>
                  </v:shape>
                  <v:rect id="_x0000_s1026" o:spid="_x0000_s1026" o:spt="1" style="position:absolute;left:1759;top:574512;height:7043;width:21335;" filled="f" stroked="t" coordsize="21600,21600" o:gfxdata="UEsDBAoAAAAAAIdO4kAAAAAAAAAAAAAAAAAEAAAAZHJzL1BLAwQUAAAACACHTuJA1nYw/rwAAADb&#10;AAAADwAAAGRycy9kb3ducmV2LnhtbEWP3YrCMBSE7wXfIRxh7zTVBX+qqRey4oKI+PMAh+bYlDYn&#10;pclW9+2NIHg5zMw3zGr9sLXoqPWlYwXjUQKCOHe65ELB9bIdzkH4gKyxdkwK/snDOuv3Vphqd+cT&#10;dedQiAhhn6ICE0KTSulzQxb9yDXE0bu51mKIsi2kbvEe4baWkySZSoslxwWDDW0M5dX5zyo4TGZm&#10;UVx3SIe97Lpj/fM99ZVSX4NxsgQR6BE+4Xf7VyuYz+D1Jf4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Z2MP68AAAA&#10;2wAAAA8AAAAAAAAAAQAgAAAAIgAAAGRycy9kb3ducmV2LnhtbFBLAQIUABQAAAAIAIdO4kAzLwWe&#10;OwAAADkAAAAQAAAAAAAAAAEAIAAAAAsBAABkcnMvc2hhcGV4bWwueG1sUEsFBgAAAAAGAAYAWwEA&#10;ALUDAAAAAA==&#10;">
                    <v:fill on="f" focussize="0,0"/>
                    <v:stroke weight="1pt" color="#000000" joinstyle="miter" dashstyle="longDash"/>
                    <v:imagedata o:title=""/>
                    <o:lock v:ext="edit" aspectratio="f"/>
                  </v:rect>
                  <v:roundrect id="_x0000_s1026" o:spid="_x0000_s1026" o:spt="2" style="position:absolute;left:14813;top:574914;height:6587;width:2190;" filled="f" stroked="t" coordsize="21600,21600" arcsize="0.166666666666667" o:gfxdata="UEsDBAoAAAAAAIdO4kAAAAAAAAAAAAAAAAAEAAAAZHJzL1BLAwQUAAAACACHTuJA7abgIrkAAADb&#10;AAAADwAAAGRycy9kb3ducmV2LnhtbEVPTYvCMBC9L/gfwgh7W1MFi1SjB0EQT6srSm9DM6bVZlKT&#10;rHb//eYgeHy878Wqt614kA+NYwXjUQaCuHK6YaPg+LP5moEIEVlj65gU/FGA1XLwscBCuyfv6XGI&#10;RqQQDgUqqGPsCilDVZPFMHIdceIuzluMCXojtcdnCretnGRZLi02nBpq7GhdU3U7/FoF5Smf+Gl5&#10;5t1uXW77vPs217tR6nM4zuYgIvXxLX65t1rBLI1NX9IPkM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2m4CK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属地政府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州发展改革委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州工业和信息化局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w:t>
                          </w:r>
                          <w:r>
                            <w:rPr>
                              <w:rFonts w:hint="eastAsia" w:ascii="仿宋_GB2312" w:hAnsi="仿宋_GB2312" w:eastAsia="仿宋_GB2312" w:cs="仿宋_GB2312"/>
                              <w:b w:val="0"/>
                              <w:bCs/>
                              <w:color w:val="auto"/>
                              <w:sz w:val="24"/>
                              <w:szCs w:val="24"/>
                              <w:highlight w:val="none"/>
                              <w:lang w:val="en-US" w:eastAsia="zh-CN"/>
                            </w:rPr>
                            <w:t>商务</w:t>
                          </w:r>
                          <w:r>
                            <w:rPr>
                              <w:rFonts w:hint="eastAsia" w:ascii="仿宋_GB2312" w:hAnsi="仿宋_GB2312" w:eastAsia="仿宋_GB2312" w:cs="仿宋_GB2312"/>
                              <w:b w:val="0"/>
                              <w:bCs/>
                              <w:color w:val="auto"/>
                              <w:sz w:val="24"/>
                              <w:szCs w:val="24"/>
                              <w:highlight w:val="none"/>
                            </w:rPr>
                            <w:t>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州财政局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州住房城乡建设局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州交通运输局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凯里供电局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移动黔东南分公司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电信黔东南分公司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联通黔东南分公司</w:t>
                          </w:r>
                        </w:p>
                      </w:txbxContent>
                    </v:textbox>
                  </v:roundrect>
                  <v:roundrect id="_x0000_s1026" o:spid="_x0000_s1026" o:spt="2" style="position:absolute;left:1849;top:574895;height:6602;width:1945;" filled="f" stroked="t" coordsize="21600,21600" arcsize="0.166666666666667" o:gfxdata="UEsDBAoAAAAAAIdO4kAAAAAAAAAAAAAAAAAEAAAAZHJzL1BLAwQUAAAACACHTuJAdqxHFr0AAADb&#10;AAAADwAAAGRycy9kb3ducmV2LnhtbEWPQWsCMRSE7wX/Q3iCt5pVcKmr0YMgiCe1pWVvj80zu7p5&#10;2Saprv/eFAo9DjPzDbNc97YVN/KhcaxgMs5AEFdON2wUfLxvX99AhIissXVMCh4UYL0avCyx0O7O&#10;R7qdohEJwqFABXWMXSFlqGqyGMauI07e2XmLMUlvpPZ4T3DbymmW5dJiw2mhxo42NVXX049VUH7m&#10;Uz8rv3i/35S7Pu8O5vJtlBoNJ9kCRKQ+/of/2jutYJ7D75f0A+Tq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rEc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州生态环境局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州应急管理局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属地政府</w:t>
                          </w:r>
                        </w:p>
                        <w:p>
                          <w:pPr>
                            <w:spacing w:line="400" w:lineRule="exact"/>
                            <w:jc w:val="left"/>
                            <w:rPr>
                              <w:rFonts w:hint="eastAsia" w:ascii="宋体" w:hAnsi="宋体" w:eastAsia="宋体" w:cs="宋体"/>
                              <w:szCs w:val="21"/>
                            </w:rPr>
                          </w:pPr>
                        </w:p>
                      </w:txbxContent>
                    </v:textbox>
                  </v:roundrect>
                  <v:roundrect id="_x0000_s1026" o:spid="_x0000_s1026" o:spt="2" style="position:absolute;left:12679;top:574906;height:6602;width:1950;" filled="f" stroked="t" coordsize="21600,21600" arcsize="0.166666666666667" o:gfxdata="UEsDBAoAAAAAAIdO4kAAAAAAAAAAAAAAAAAEAAAAZHJzL1BLAwQUAAAACACHTuJACZdBFb0AAADb&#10;AAAADwAAAGRycy9kb3ducmV2LnhtbEWPQWsCMRSE74X+h/AEbzXrgku7NXoQCuJJbWnZ22PzzK5u&#10;XrZJquu/NwXB4zAz3zDz5WA7cSYfWscKppMMBHHtdMtGwdfnx8sriBCRNXaOScGVAiwXz09zLLW7&#10;8I7O+2hEgnAoUUETY19KGeqGLIaJ64mTd3DeYkzSG6k9XhLcdjLPskJabDktNNjTqqH6tP+zCqrv&#10;Ivez6oc3m1W1Hop+a46/RqnxaJq9g4g0xEf43l5rBW85/H9JP0A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l0EV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属地政府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州委政法委员会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州公安局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州民政局</w:t>
                          </w:r>
                        </w:p>
                      </w:txbxContent>
                    </v:textbox>
                  </v:roundrect>
                  <v:roundrect id="_x0000_s1026" o:spid="_x0000_s1026" o:spt="2" style="position:absolute;left:8470;top:574903;height:6581;width:2040;" filled="f" stroked="t" coordsize="21600,21600" arcsize="0.166666666666667" o:gfxdata="UEsDBAoAAAAAAIdO4kAAAAAAAAAAAAAAAAAEAAAAZHJzL1BLAwQUAAAACACHTuJAhn7ZYb0AAADb&#10;AAAADwAAAGRycy9kb3ducmV2LnhtbEWPQWsCMRSE7wX/Q3iCt5pVcKlbowdBEE9qi7K3x+Y1u+3m&#10;ZU2irv/eFAo9DjPzDbNY9bYVN/KhcaxgMs5AEFdON2wUfH5sXt9AhIissXVMCh4UYLUcvCyw0O7O&#10;B7odoxEJwqFABXWMXSFlqGqyGMauI07el/MWY5LeSO3xnuC2ldMsy6XFhtNCjR2ta6p+jleroDzl&#10;Uz8rz7zbrcttn3d7830xSo2Gk+wdRKQ+/of/2lutYD6D3y/pB8jl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ftl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属地政府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州生态环境局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州气象局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州自然资源局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州水务局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州水文水资源局</w:t>
                          </w:r>
                        </w:p>
                        <w:p>
                          <w:pPr>
                            <w:spacing w:line="400" w:lineRule="exact"/>
                            <w:jc w:val="left"/>
                            <w:rPr>
                              <w:rFonts w:eastAsia="宋体"/>
                            </w:rPr>
                          </w:pPr>
                        </w:p>
                      </w:txbxContent>
                    </v:textbox>
                  </v:roundrect>
                  <v:roundrect id="_x0000_s1026" o:spid="_x0000_s1026" o:spt="2" style="position:absolute;left:4034;top:574906;height:6575;width:2209;" filled="f" stroked="t" coordsize="21600,21600" arcsize="0.166666666666667" o:gfxdata="UEsDBAoAAAAAAIdO4kAAAAAAAAAAAAAAAAAEAAAAZHJzL1BLAwQUAAAACACHTuJA6TJ8+r4AAADb&#10;AAAADwAAAGRycy9kb3ducmV2LnhtbEWPT2sCMRTE74V+h/AKvWlWqYvdGj0Igniqf7Ds7bF5zW67&#10;eVmTVNdvbwShx2FmfsPMFr1txZl8aBwrGA0zEMSV0w0bBYf9ajAFESKyxtYxKbhSgMX8+WmGhXYX&#10;3tJ5F41IEA4FKqhj7AopQ1WTxTB0HXHyvp23GJP0RmqPlwS3rRxnWS4tNpwWauxoWVP1u/uzCspj&#10;PvaT8os3m2W57vPu0/ycjFKvL6PsA0SkPv6HH+21VvD+Bvcv6QfI+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TJ8+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属地政府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州生态环境局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州应急管理局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州发展改革委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州教育局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州工业和信息化局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州公安局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州交通运输局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州农业农村局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州水务局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州自然资源局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州卫生健康局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州林业局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州文体广电旅游局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州水文水资源局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凯里军分区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州消防救援支队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州武警支队</w:t>
                          </w:r>
                        </w:p>
                      </w:txbxContent>
                    </v:textbox>
                  </v:roundrect>
                  <v:roundrect id="_x0000_s1026" o:spid="_x0000_s1026" o:spt="2" style="position:absolute;left:19151;top:574901;height:6595;width:1710;" filled="f" stroked="t" coordsize="21600,21600" arcsize="0.166666666666667" o:gfxdata="UEsDBAoAAAAAAIdO4kAAAAAAAAAAAAAAAAAEAAAAZHJzL1BLAwQUAAAACACHTuJAjE7XyL0AAADb&#10;AAAADwAAAGRycy9kb3ducmV2LnhtbEWPQWsCMRSE7wX/Q3iCt5p1wUW2Rg+CIJ5aW1r29tg8s6ub&#10;lzWJuv57Uyj0OMzMN8xyPdhO3MiH1rGC2TQDQVw73bJR8PW5fV2ACBFZY+eYFDwowHo1elliqd2d&#10;P+h2iEYkCIcSFTQx9qWUoW7IYpi6njh5R+ctxiS9kdrjPcFtJ/MsK6TFltNCgz1tGqrPh6tVUH0X&#10;uZ9XP7zfb6rdUPTv5nQxSk3Gs+wNRKQh/of/2jutYJHD75f0A+Tq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Ttf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属地政府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州应急管理局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州生态环境局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州发展改革委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州财政局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州农业农村局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州卫生健康局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州民政局</w:t>
                          </w:r>
                        </w:p>
                      </w:txbxContent>
                    </v:textbox>
                  </v:roundrect>
                  <v:roundrect id="_x0000_s1026" o:spid="_x0000_s1026" o:spt="2" style="position:absolute;left:21080;top:574904;height:6590;width:1945;" filled="f" stroked="t" coordsize="21600,21600" arcsize="0.166666666666667" o:gfxdata="UEsDBAoAAAAAAIdO4kAAAAAAAAAAAAAAAAAEAAAAZHJzL1BLAwQUAAAACACHTuJAZtvkjr4AAADb&#10;AAAADwAAAGRycy9kb3ducmV2LnhtbEWPT2sCMRTE74V+h/AKvWlWi4vdGj0Igniqf7Ds7bF5zW67&#10;eVmTVNdvbwShx2FmfsPMFr1txZl8aBwrGA0zEMSV0w0bBYf9ajAFESKyxtYxKbhSgMX8+WmGhXYX&#10;3tJ5F41IEA4FKqhj7AopQ1WTxTB0HXHyvp23GJP0RmqPlwS3rRxnWS4tNpwWauxoWVP1u/uzCspj&#10;PvaT8os3m2W57vPu0/ycjFKvL6PsA0SkPv6HH+21VvD+Bvcv6QfI+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tvkj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州委宣传部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州应急管理局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州生态环境局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属地政府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州文体广电旅游局</w:t>
                          </w:r>
                        </w:p>
                      </w:txbxContent>
                    </v:textbox>
                  </v:roundrect>
                  <v:roundrect id="_x0000_s1026" o:spid="_x0000_s1026" o:spt="2" style="position:absolute;left:17217;top:574920;height:6587;width:1710;" filled="f" stroked="t" coordsize="21600,21600" arcsize="0.166666666666667" o:gfxdata="UEsDBAoAAAAAAIdO4kAAAAAAAAAAAAAAAAAEAAAAZHJzL1BLAwQUAAAACACHTuJA+UXfYr0AAADb&#10;AAAADwAAAGRycy9kb3ducmV2LnhtbEWPQWsCMRSE7wX/Q3iCt5pdoUtdjR4EQTxVW1r29tg8s6ub&#10;l22S6vrvTaHQ4zAz3zDL9WA7cSUfWscK8mkGgrh2umWj4ON9+/wKIkRkjZ1jUnCnAOvV6GmJpXY3&#10;PtD1GI1IEA4lKmhi7EspQ92QxTB1PXHyTs5bjEl6I7XHW4LbTs6yrJAWW04LDfa0aai+HH+sguqz&#10;mPmX6ov3+021G4r+zZy/jVKTcZ4tQEQa4n/4r73TCuY5/H5JP0C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Rd9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州生态环境局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属地政府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州应急管理局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州公安局</w:t>
                          </w:r>
                        </w:p>
                      </w:txbxContent>
                    </v:textbox>
                  </v:roundrect>
                  <v:roundrect id="_x0000_s1026" o:spid="_x0000_s1026" o:spt="2" style="position:absolute;left:10741;top:574903;height:6595;width:1712;" filled="f" stroked="t" coordsize="21600,21600" arcsize="0.166666666666667" o:gfxdata="UEsDBAoAAAAAAIdO4kAAAAAAAAAAAAAAAAAEAAAAZHJzL1BLAwQUAAAACACHTuJAE9DsJLkAAADb&#10;AAAADwAAAGRycy9kb3ducmV2LnhtbEVPTYvCMBC9L/gfwgh7W1MFi1SjB0EQT6srSm9DM6bVZlKT&#10;rHb//eYgeHy878Wqt614kA+NYwXjUQaCuHK6YaPg+LP5moEIEVlj65gU/FGA1XLwscBCuyfv6XGI&#10;RqQQDgUqqGPsCilDVZPFMHIdceIuzluMCXojtcdnCretnGRZLi02nBpq7GhdU3U7/FoF5Smf+Gl5&#10;5t1uXW77vPs217tR6nM4zuYgIvXxLX65t1rBLK1PX9IPkM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PQ7CS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属地政府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州卫生健康局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医疗卫生机构</w:t>
                          </w:r>
                        </w:p>
                      </w:txbxContent>
                    </v:textbox>
                  </v:roundrect>
                </v:group>
                <v:shape id="_x0000_s1026" o:spid="_x0000_s1026" o:spt="32" type="#_x0000_t32" style="position:absolute;left:2840;top:574422;flip:x;height:1045;width:10;" filled="f" stroked="t" coordsize="21600,21600" o:gfxdata="UEsDBAoAAAAAAIdO4kAAAAAAAAAAAAAAAAAEAAAAZHJzL1BLAwQUAAAACACHTuJAtANZlrwAAADc&#10;AAAADwAAAGRycy9kb3ducmV2LnhtbEVPS4vCMBC+C/6HMMLeNFXwQdfoQRD0ILu+yh6HZvrYbSal&#10;idb11xtB8DYf33Pmy5upxJUaV1pWMBxEIIhTq0vOFZyO6/4MhPPIGivLpOCfHCwX3c4cY21b3tP1&#10;4HMRQtjFqKDwvo6ldGlBBt3A1sSBy2xj0AfY5FI32IZwU8lRFE2kwZJDQ4E1rQpK/w4Xo2D/e8zW&#10;Ozzfv5NR+zP9SsdZIrdKffSG0ScITzf/Fr/cGx3mTyfwfCZcIB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DWZa8AAAA&#10;3A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shape>
                <v:shape id="_x0000_s1026" o:spid="_x0000_s1026" o:spt="32" type="#_x0000_t32" style="position:absolute;left:7377;top:574426;flip:x;height:1045;width:10;" filled="f" stroked="t" coordsize="21600,21600" o:gfxdata="UEsDBAoAAAAAAIdO4kAAAAAAAAAAAAAAAAAEAAAAZHJzL1BLAwQUAAAACACHTuJA20/8Db4AAADc&#10;AAAADwAAAGRycy9kb3ducmV2LnhtbEVPS2vCQBC+F/wPywi91Y2BNiW6ehACeiit2kqPQ3by0Oxs&#10;yG6T1F/vFgre5uN7znI9mkb01LnasoL5LAJBnFtdc6ng85g9vYJwHlljY5kU/JKD9WrysMRU24H3&#10;1B98KUIIuxQVVN63qZQur8igm9mWOHCF7Qz6ALtS6g6HEG4aGUfRizRYc2iosKVNRfnl8GMU7M/H&#10;InvDr+vHKR6+k/f8uTjJnVKP03m0AOFp9Hfxv3urw/wkgb9nwgVyd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0/8Db4A&#10;AADc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shape>
                <v:shape id="_x0000_s1026" o:spid="_x0000_s1026" o:spt="32" type="#_x0000_t32" style="position:absolute;left:9492;top:574437;flip:x;height:1045;width:10;" filled="f" stroked="t" coordsize="21600,21600" o:gfxdata="UEsDBAoAAAAAAIdO4kAAAAAAAAAAAAAAAAAEAAAAZHJzL1BLAwQUAAAACACHTuJAqtBof8EAAADc&#10;AAAADwAAAGRycy9kb3ducmV2LnhtbEWPzWvCQBDF7wX/h2WE3uomQmtJXXMQBD2U1o9Kj0N28qHZ&#10;2ZBdje1f3zkUvM3w3rz3m3l+c626Uh8azwbSSQKKuPC24crAYb96egUVIrLF1jMZ+KEA+WL0MMfM&#10;+oG3dN3FSkkIhwwN1DF2mdahqMlhmPiOWLTS9w6jrH2lbY+DhLtWT5PkRTtsWBpq7GhZU3HeXZyB&#10;7Wlfrt7x6/fzOB2+Zx/Fc3nUG2Mex2nyBirSLd7N/9drK/gzoZVnZAK9+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tBo&#10;f8EAAADcAAAADwAAAAAAAAABACAAAAAiAAAAZHJzL2Rvd25yZXYueG1sUEsBAhQAFAAAAAgAh07i&#10;QDMvBZ47AAAAOQAAABAAAAAAAAAAAQAgAAAAEAEAAGRycy9zaGFwZXhtbC54bWxQSwUGAAAAAAYA&#10;BgBbAQAAugMAAAAA&#10;">
                  <v:fill on="f" focussize="0,0"/>
                  <v:stroke weight="1.25pt" color="#000000" joinstyle="round" endarrow="block"/>
                  <v:imagedata o:title=""/>
                  <o:lock v:ext="edit" aspectratio="f"/>
                </v:shape>
                <v:shape id="_x0000_s1026" o:spid="_x0000_s1026" o:spt="32" type="#_x0000_t32" style="position:absolute;left:11592;top:574437;flip:x;height:1045;width:10;" filled="f" stroked="t" coordsize="21600,21600" o:gfxdata="UEsDBAoAAAAAAIdO4kAAAAAAAAAAAAAAAAAEAAAAZHJzL1BLAwQUAAAACACHTuJAxZzN5L0AAADc&#10;AAAADwAAAGRycy9kb3ducmV2LnhtbEVPyYoCMRC9C/5DKMGbphVcpsfoQRD0II7LyByLTvWinUrT&#10;ibb69RNhYG71eGvNFg9TijvVrrCsYNCPQBAnVhecKTgdV70pCOeRNZaWScGTHCzm7dYMY20b3tP9&#10;4DMRQtjFqCD3voqldElOBl3fVsSBS21t0AdYZ1LX2IRwU8phFI2lwYJDQ44VLXNKroebUbC/HNPV&#10;Fr9fX+dh8zPZJaP0LDdKdTuD6BOEp4f/F/+51zrMn3zA+5lwgZ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nM3kvQAA&#10;ANw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shape>
                <v:shape id="_x0000_s1026" o:spid="_x0000_s1026" o:spt="32" type="#_x0000_t32" style="position:absolute;left:13674;top:574437;flip:x;height:1045;width:10;" filled="f" stroked="t" coordsize="21600,21600" o:gfxdata="UEsDBAoAAAAAAIdO4kAAAAAAAAAAAAAAAAAEAAAAZHJzL1BLAwQUAAAACACHTuJAYXMUXsAAAADc&#10;AAAADwAAAGRycy9kb3ducmV2LnhtbEWPS2sCQRCE74H8h6EDucVZhaisjh4EQQ8SH1E8Nju9D93p&#10;WXZG1+TXpw9Cbt1UddXX0/nD1epObag8G+j3ElDEmbcVFwa+D8uPMagQkS3WnsnADwWYz15fppha&#10;3/GO7vtYKAnhkKKBMsYm1TpkJTkMPd8Qi5b71mGUtS20bbGTcFfrQZIMtcOKpaHEhhYlZdf9zRnY&#10;XQ75coPH3+1p0J1HX9lnftJrY97f+skEVKRH/Dc/r1dW8MeCL8/IBHr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cxRe&#10;wAAAANwAAAAPAAAAAAAAAAEAIAAAACIAAABkcnMvZG93bnJldi54bWxQSwECFAAUAAAACACHTuJA&#10;My8FnjsAAAA5AAAAEAAAAAAAAAABACAAAAAPAQAAZHJzL3NoYXBleG1sLnhtbFBLBQYAAAAABgAG&#10;AFsBAAC5AwAAAAA=&#10;">
                  <v:fill on="f" focussize="0,0"/>
                  <v:stroke weight="1.25pt" color="#000000" joinstyle="round" endarrow="block"/>
                  <v:imagedata o:title=""/>
                  <o:lock v:ext="edit" aspectratio="f"/>
                </v:shape>
                <v:shape id="_x0000_s1026" o:spid="_x0000_s1026" o:spt="32" type="#_x0000_t32" style="position:absolute;left:15905;top:574437;flip:x;height:1045;width:10;" filled="f" stroked="t" coordsize="21600,21600" o:gfxdata="UEsDBAoAAAAAAIdO4kAAAAAAAAAAAAAAAAAEAAAAZHJzL1BLAwQUAAAACACHTuJADj+xxb0AAADc&#10;AAAADwAAAGRycy9kb3ducmV2LnhtbEVPyWrDMBC9B/oPYgq9JbINTYMTJYeCoT2UNis5DtZ4SayR&#10;sVTbzddXhUJu83jrrDajaURPnastK4hnEQji3OqaSwWHfTZdgHAeWWNjmRT8kIPN+mGywlTbgbfU&#10;73wpQgi7FBVU3replC6vyKCb2ZY4cIXtDPoAu1LqDocQbhqZRNFcGqw5NFTY0mtF+XX3bRRsL/si&#10;+8Dj7euUDOeXz/y5OMl3pZ4e42gJwtPo7+J/95sO8xcx/D0TLp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P7HFvQAA&#10;ANw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shape>
                <v:shape id="_x0000_s1026" o:spid="_x0000_s1026" o:spt="32" type="#_x0000_t32" style="position:absolute;left:18077;top:574434;flip:x;height:1045;width:10;" filled="f" stroked="t" coordsize="21600,21600" o:gfxdata="UEsDBAoAAAAAAIdO4kAAAAAAAAAAAAAAAAAEAAAAZHJzL1BLAwQUAAAACACHTuJA/u0vsr4AAADc&#10;AAAADwAAAGRycy9kb3ducmV2LnhtbEVPyWrDMBC9F/oPYgq5NbINbYwbJYeCoTmUbK3pcbDGS2KN&#10;jKXESb++KgRym8dbZ768mE6caXCtZQXxNAJBXFrdcq3ga58/pyCcR9bYWSYFV3KwXDw+zDHTduQt&#10;nXe+FiGEXYYKGu/7TEpXNmTQTW1PHLjKDgZ9gEMt9YBjCDedTKLoVRpsOTQ02NN7Q+VxdzIKtod9&#10;lX/i9++mSMaf2bp8qQq5UmryFEdvIDxd/F18c3/oMD9N4P+ZcIF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0vsr4A&#10;AADc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shape>
                <v:shape id="_x0000_s1026" o:spid="_x0000_s1026" o:spt="32" type="#_x0000_t32" style="position:absolute;left:20009;top:574414;flip:x;height:1045;width:10;" filled="f" stroked="t" coordsize="21600,21600" o:gfxdata="UEsDBAoAAAAAAIdO4kAAAAAAAAAAAAAAAAAEAAAAZHJzL1BLAwQUAAAACACHTuJAkaGKKb4AAADc&#10;AAAADwAAAGRycy9kb3ducmV2LnhtbEVPS2vCQBC+F/wPyxR6qxsttRJdPQhCeyhtkioeh+zkYbOz&#10;Ibs10V/vFgRv8/E9Z7keTCNO1LnasoLJOAJBnFtdc6ngJ9s+z0E4j6yxsUwKzuRgvRo9LDHWtueE&#10;TqkvRQhhF6OCyvs2ltLlFRl0Y9sSB66wnUEfYFdK3WEfwk0jp1E0kwZrDg0VtrSpKP9N/4yC5JgV&#10;20/cXb730/7w9pW/Fnv5odTT4yRagPA0+Lv45n7XYf78Bf6fCRfI1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GKKb4A&#10;AADc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shape>
                <v:shape id="_x0000_s1026" o:spid="_x0000_s1026" o:spt="32" type="#_x0000_t32" style="position:absolute;left:22049;top:574429;flip:x;height:1045;width:10;" filled="f" stroked="t" coordsize="21600,21600" o:gfxdata="UEsDBAoAAAAAAIdO4kAAAAAAAAAAAAAAAAAEAAAAZHJzL1BLAwQUAAAACACHTuJAHkgSXb4AAADc&#10;AAAADwAAAGRycy9kb3ducmV2LnhtbEVPS2vCQBC+F/wPyxR6qxultRJdPQhCeyhtkioeh+zkYbOz&#10;Ibs10V/vFgRv8/E9Z7keTCNO1LnasoLJOAJBnFtdc6ngJ9s+z0E4j6yxsUwKzuRgvRo9LDHWtueE&#10;TqkvRQhhF6OCyvs2ltLlFRl0Y9sSB66wnUEfYFdK3WEfwk0jp1E0kwZrDg0VtrSpKP9N/4yC5JgV&#10;20/cXb730/7w9pW/Fnv5odTT4yRagPA0+Lv45n7XYf78Bf6fCRfI1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kgSXb4A&#10;AADc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shape>
              </v:group>
            </w:pict>
          </mc:Fallback>
        </mc:AlternateContent>
      </w:r>
    </w:p>
    <w:p>
      <w:pPr>
        <w:widowControl/>
        <w:spacing w:before="100" w:beforeAutospacing="1" w:after="100" w:afterAutospacing="1" w:line="440" w:lineRule="exact"/>
        <w:ind w:firstLine="420" w:firstLineChars="200"/>
        <w:rPr>
          <w:rFonts w:ascii="仿宋_GB2312" w:eastAsia="仿宋_GB2312"/>
          <w:color w:val="auto"/>
          <w:sz w:val="28"/>
          <w:szCs w:val="28"/>
          <w:highlight w:val="none"/>
        </w:rPr>
      </w:pPr>
      <w:r>
        <mc:AlternateContent>
          <mc:Choice Requires="wps">
            <w:drawing>
              <wp:anchor distT="0" distB="0" distL="114300" distR="114300" simplePos="0" relativeHeight="251671552" behindDoc="0" locked="0" layoutInCell="1" allowOverlap="1">
                <wp:simplePos x="0" y="0"/>
                <wp:positionH relativeFrom="column">
                  <wp:posOffset>3063875</wp:posOffset>
                </wp:positionH>
                <wp:positionV relativeFrom="paragraph">
                  <wp:posOffset>402590</wp:posOffset>
                </wp:positionV>
                <wp:extent cx="1087120" cy="4175125"/>
                <wp:effectExtent l="4445" t="4445" r="13335" b="11430"/>
                <wp:wrapNone/>
                <wp:docPr id="174" name="圆角矩形 174"/>
                <wp:cNvGraphicFramePr/>
                <a:graphic xmlns:a="http://schemas.openxmlformats.org/drawingml/2006/main">
                  <a:graphicData uri="http://schemas.microsoft.com/office/word/2010/wordprocessingShape">
                    <wps:wsp>
                      <wps:cNvSpPr/>
                      <wps:spPr>
                        <a:xfrm>
                          <a:off x="0" y="0"/>
                          <a:ext cx="1087120" cy="4175125"/>
                        </a:xfrm>
                        <a:prstGeom prst="roundRect">
                          <a:avLst>
                            <a:gd name="adj" fmla="val 16667"/>
                          </a:avLst>
                        </a:prstGeom>
                        <a:noFill/>
                        <a:ln w="952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州生态环境局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属地政府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贵州省、黔东南州生态环境应急专家</w:t>
                            </w:r>
                          </w:p>
                        </w:txbxContent>
                      </wps:txbx>
                      <wps:bodyPr upright="1"/>
                    </wps:wsp>
                  </a:graphicData>
                </a:graphic>
              </wp:anchor>
            </w:drawing>
          </mc:Choice>
          <mc:Fallback>
            <w:pict>
              <v:roundrect id="_x0000_s1026" o:spid="_x0000_s1026" o:spt="2" style="position:absolute;left:0pt;margin-left:241.25pt;margin-top:31.7pt;height:328.75pt;width:85.6pt;z-index:251671552;mso-width-relative:page;mso-height-relative:page;" filled="f" stroked="t" coordsize="21600,21600" arcsize="0.166666666666667" o:gfxdata="UEsDBAoAAAAAAIdO4kAAAAAAAAAAAAAAAAAEAAAAZHJzL1BLAwQUAAAACACHTuJA/vXvrdsAAAAK&#10;AQAADwAAAGRycy9kb3ducmV2LnhtbE2PwU7DMBBE70j8g7VI3KjdtHFLiNNDJSTUExQEys2NFycQ&#10;r0PstuHvMSc4ruZp5m25mVzPTjiGzpOC+UwAQ2q86cgqeHm+v1kDC1GT0b0nVPCNATbV5UWpC+PP&#10;9ISnfbQslVAotII2xqHgPDQtOh1mfkBK2bsfnY7pHC03oz6nctfzTAjJne4oLbR6wG2Lzef+6BTU&#10;rzIb8/qNdrtt/TDJ4dF+fFmlrq/m4g5YxCn+wfCrn9ShSk4HfyQTWK9guc7yhCqQiyWwBMh8sQJ2&#10;ULDKxC3wquT/X6h+AFBLAwQUAAAACACHTuJANAaRQx8CAAAyBAAADgAAAGRycy9lMm9Eb2MueG1s&#10;rVPNjtMwEL4j8Q6W7zRNtW2XqOkeKMsFwYqFB3BtJzHynzxuk74AD8AZCYkL4iF4nBU8BmM3dGG5&#10;9EAOztgz/ma+b8arq8FospcBlLM1LSdTSqTlTijb1vTd2+snl5RAZFYw7ays6UECvVo/frTqfSVn&#10;rnNayEAQxELV+5p2MfqqKIB30jCYOC8tOhsXDIu4DW0hAusR3ehiNp0uit4F4YPjEgBPN0cnHRHD&#10;OYCuaRSXG8d3Rtp4RA1Ss4iUoFMe6DpX2zSSx9dNAzISXVNkGvOKSdDeprVYr1jVBuY7xccS2Dkl&#10;POBkmLKY9AS1YZGRXVD/QBnFgwPXxAl3pjgSyYogi3L6QJvbjnmZuaDU4E+iw/+D5a/2N4EogZOw&#10;vKDEMoMtv/v04efXjz8+f7v7/oWkc1Sp91Bh8K2/CeMO0EyUhyaY9EcyZMjKHk7KyiESjofl9HJZ&#10;zlB0jr6LcjkvZ/OEWtxf9wHiC+kMSUZNg9tZ8Qb7l2Vl+5cQs75irJGJ95Q0RmO39kyTcrFYLEfE&#10;MRixf2Omm9ZdK61zv7UlfU2fzrEGwhnOcIOzg6bxqAPYNqcEp5VIV9JlCO32mQ4EUyG3/I3J/gpL&#10;+TYMumNcdqUwVnWSiedWkHjwqK/Fh0VTCUYKSrTEd5isHBmZ0udEIjttUcDUl2MnkhWH7YAwydw6&#10;ccDW7nxQbYeClrng5MFRysqPY59m9c99Br1/6u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Xv&#10;rdsAAAAKAQAADwAAAAAAAAABACAAAAAiAAAAZHJzL2Rvd25yZXYueG1sUEsBAhQAFAAAAAgAh07i&#10;QDQGkUMfAgAAMgQAAA4AAAAAAAAAAQAgAAAAKgEAAGRycy9lMm9Eb2MueG1sUEsFBgAAAAAGAAYA&#10;WQEAALsFAAAAAA==&#10;">
                <v:fill on="f"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州生态环境局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属地政府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贵州省、黔东南州生态环境应急专家</w:t>
                      </w:r>
                    </w:p>
                  </w:txbxContent>
                </v:textbox>
              </v:roundrect>
            </w:pict>
          </mc:Fallback>
        </mc:AlternateContent>
      </w:r>
    </w:p>
    <w:p>
      <w:pPr>
        <w:widowControl/>
        <w:spacing w:before="100" w:beforeAutospacing="1" w:after="100" w:afterAutospacing="1" w:line="440" w:lineRule="exact"/>
        <w:ind w:firstLine="560" w:firstLineChars="200"/>
        <w:rPr>
          <w:rFonts w:ascii="仿宋_GB2312" w:eastAsia="仿宋_GB2312"/>
          <w:color w:val="auto"/>
          <w:sz w:val="28"/>
          <w:szCs w:val="28"/>
          <w:highlight w:val="none"/>
        </w:rPr>
      </w:pPr>
    </w:p>
    <w:p>
      <w:pPr>
        <w:widowControl/>
        <w:spacing w:before="100" w:beforeAutospacing="1" w:after="100" w:afterAutospacing="1" w:line="440" w:lineRule="exact"/>
        <w:ind w:firstLine="560" w:firstLineChars="200"/>
        <w:rPr>
          <w:rFonts w:ascii="仿宋_GB2312" w:eastAsia="仿宋_GB2312"/>
          <w:color w:val="auto"/>
          <w:sz w:val="28"/>
          <w:szCs w:val="28"/>
          <w:highlight w:val="none"/>
        </w:rPr>
      </w:pPr>
    </w:p>
    <w:p>
      <w:pPr>
        <w:widowControl/>
        <w:spacing w:before="100" w:beforeAutospacing="1" w:after="100" w:afterAutospacing="1" w:line="440" w:lineRule="exact"/>
        <w:ind w:firstLine="560" w:firstLineChars="200"/>
        <w:rPr>
          <w:rFonts w:ascii="仿宋_GB2312" w:eastAsia="仿宋_GB2312"/>
          <w:color w:val="auto"/>
          <w:sz w:val="28"/>
          <w:szCs w:val="28"/>
          <w:highlight w:val="none"/>
        </w:rPr>
      </w:pPr>
      <w:r>
        <w:rPr>
          <w:rFonts w:eastAsia="宋体"/>
          <w:color w:val="auto"/>
          <w:sz w:val="28"/>
          <w:highlight w:val="none"/>
        </w:rPr>
        <mc:AlternateContent>
          <mc:Choice Requires="wps">
            <w:drawing>
              <wp:anchor distT="0" distB="0" distL="114300" distR="114300" simplePos="0" relativeHeight="251661312" behindDoc="0" locked="0" layoutInCell="1" allowOverlap="1">
                <wp:simplePos x="0" y="0"/>
                <wp:positionH relativeFrom="column">
                  <wp:posOffset>-847725</wp:posOffset>
                </wp:positionH>
                <wp:positionV relativeFrom="paragraph">
                  <wp:posOffset>263525</wp:posOffset>
                </wp:positionV>
                <wp:extent cx="990600" cy="445135"/>
                <wp:effectExtent l="0" t="0" r="0" b="0"/>
                <wp:wrapNone/>
                <wp:docPr id="89" name="圆角矩形 89"/>
                <wp:cNvGraphicFramePr/>
                <a:graphic xmlns:a="http://schemas.openxmlformats.org/drawingml/2006/main">
                  <a:graphicData uri="http://schemas.microsoft.com/office/word/2010/wordprocessingShape">
                    <wps:wsp>
                      <wps:cNvSpPr/>
                      <wps:spPr>
                        <a:xfrm>
                          <a:off x="0" y="0"/>
                          <a:ext cx="990600" cy="445135"/>
                        </a:xfrm>
                        <a:prstGeom prst="roundRect">
                          <a:avLst>
                            <a:gd name="adj" fmla="val 16667"/>
                          </a:avLst>
                        </a:prstGeom>
                        <a:noFill/>
                        <a:ln>
                          <a:noFill/>
                        </a:ln>
                      </wps:spPr>
                      <wps:txbx>
                        <w:txbxContent>
                          <w:p>
                            <w:pPr>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rPr>
                              <w:t>成员单位</w:t>
                            </w:r>
                          </w:p>
                        </w:txbxContent>
                      </wps:txbx>
                      <wps:bodyPr upright="1"/>
                    </wps:wsp>
                  </a:graphicData>
                </a:graphic>
              </wp:anchor>
            </w:drawing>
          </mc:Choice>
          <mc:Fallback>
            <w:pict>
              <v:roundrect id="_x0000_s1026" o:spid="_x0000_s1026" o:spt="2" style="position:absolute;left:0pt;margin-left:-66.75pt;margin-top:20.75pt;height:35.05pt;width:78pt;z-index:251661312;mso-width-relative:page;mso-height-relative:page;" filled="f" stroked="f" coordsize="21600,21600" arcsize="0.166666666666667" o:gfxdata="UEsDBAoAAAAAAIdO4kAAAAAAAAAAAAAAAAAEAAAAZHJzL1BLAwQUAAAACACHTuJAVbi5vtgAAAAK&#10;AQAADwAAAGRycy9kb3ducmV2LnhtbE2Py07DMBBF90j8gzVI7FrbCbQoxKl4iBUCROED3NgkAXsc&#10;2U4b+vUMK1hdjebozpl6M3vH9jamIaACuRTALLbBDNgpeH97WFwBS1mj0S6gVfBtE2ya05NaVyYc&#10;8NXut7ljVIKp0gr6nMeK89T21uu0DKNF2n2E6HWmMXbcRH2gcu94IcSKez0gXej1aO96235tJ6/g&#10;093zl1vhp3Xnnuenx/Ux3pRHpc7PpLgGlu2c/2D41Sd1aMhpFyY0iTkFC1mWl8QquJCURBQF5Y5I&#10;KVfAm5r/f6H5AVBLAwQUAAAACACHTuJAv7Au28sBAAB5AwAADgAAAGRycy9lMm9Eb2MueG1srZNN&#10;btQwFMf3SNzB8p5xUtrQiSbTzahsEFSUHsDjj4mRv2R7JpkLcADWSEhsEIfocSp6DJ49YQpl0wWb&#10;5Pn5+ef3/79kcTEajXYiROVsh+tZhZGwzHFlNx2++XD54hyjmKjlVDsrOrwXEV8snz9bDL4VJ653&#10;mouAAGJjO/gO9yn5lpDIemFonDkvLGxKFwxNsAwbwgMdgG40OamqhgwucB8cEzFCdnXYxBMxPAXo&#10;pFRMrBzbGmHTgRqEpgkkxV75iJelWykFS++kjCIh3WFQmsoTLoF4nZ9kuaDtJlDfKza1QJ/SwiNN&#10;hioLlx5RK5oo2gb1D8ooFlx0Ms2YM+QgpDgCKurqkTfXPfWiaAGroz+aHv8flr3dXQWkeIfP5xhZ&#10;amDid18+3X///PPrj7vbbwjS4NHgYwul1/4qTKsIYRY8ymDyG6Sgsfi6P/oqxoQYJOfzqqnAcQZb&#10;p6dn9cuzzCQPh32I6bVwBuWgw8FtLX8PsyuW0t2bmIq3fGqQ8o8YSaNhUjuqUd00zauJOBUD+zcz&#10;n7TuUmldZq3tXwkozBmSBR4k5SiN63HSuXZ8Dw5tfVCbHnqry0W5CCZSRExfTx75n+sCffhjl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bi5vtgAAAAKAQAADwAAAAAAAAABACAAAAAiAAAAZHJz&#10;L2Rvd25yZXYueG1sUEsBAhQAFAAAAAgAh07iQL+wLtvLAQAAeQMAAA4AAAAAAAAAAQAgAAAAJwEA&#10;AGRycy9lMm9Eb2MueG1sUEsFBgAAAAAGAAYAWQEAAGQFAAAAAA==&#10;">
                <v:fill on="f" focussize="0,0"/>
                <v:stroke on="f"/>
                <v:imagedata o:title=""/>
                <o:lock v:ext="edit" aspectratio="f"/>
                <v:textbox>
                  <w:txbxContent>
                    <w:p>
                      <w:pPr>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rPr>
                        <w:t>成员单位</w:t>
                      </w:r>
                    </w:p>
                  </w:txbxContent>
                </v:textbox>
              </v:roundrect>
            </w:pict>
          </mc:Fallback>
        </mc:AlternateContent>
      </w:r>
    </w:p>
    <w:p>
      <w:pPr>
        <w:widowControl/>
        <w:spacing w:before="100" w:beforeAutospacing="1" w:after="100" w:afterAutospacing="1" w:line="440" w:lineRule="exact"/>
        <w:rPr>
          <w:rFonts w:ascii="仿宋_GB2312" w:eastAsia="仿宋_GB2312"/>
          <w:color w:val="auto"/>
          <w:sz w:val="28"/>
          <w:szCs w:val="28"/>
          <w:highlight w:val="none"/>
        </w:rPr>
        <w:sectPr>
          <w:pgSz w:w="23814" w:h="16840" w:orient="landscape"/>
          <w:pgMar w:top="1418" w:right="1418" w:bottom="1418" w:left="1418" w:header="851" w:footer="992" w:gutter="0"/>
          <w:pgNumType w:fmt="decimal"/>
          <w:cols w:space="720" w:num="1"/>
          <w:docGrid w:type="linesAndChars" w:linePitch="312" w:charSpace="0"/>
        </w:sectPr>
      </w:pPr>
    </w:p>
    <w:p>
      <w:pPr>
        <w:spacing w:line="560" w:lineRule="exact"/>
        <w:outlineLvl w:val="1"/>
        <w:rPr>
          <w:rFonts w:hint="eastAsia" w:eastAsia="楷体_GB2312"/>
          <w:b/>
          <w:color w:val="auto"/>
          <w:sz w:val="32"/>
          <w:szCs w:val="32"/>
          <w:highlight w:val="none"/>
        </w:rPr>
      </w:pPr>
      <w:bookmarkStart w:id="123" w:name="_Toc23992"/>
      <w:bookmarkStart w:id="124" w:name="_Toc21213"/>
      <w:r>
        <w:rPr>
          <w:rFonts w:hint="eastAsia" w:eastAsia="楷体_GB2312"/>
          <w:b/>
          <w:color w:val="auto"/>
          <w:sz w:val="32"/>
          <w:szCs w:val="32"/>
          <w:highlight w:val="none"/>
        </w:rPr>
        <w:t>附件 3 预警信息发布模板</w:t>
      </w:r>
      <w:bookmarkEnd w:id="123"/>
      <w:bookmarkEnd w:id="124"/>
    </w:p>
    <w:p>
      <w:pPr>
        <w:jc w:val="center"/>
        <w:rPr>
          <w:rFonts w:eastAsia="宋体"/>
          <w:b/>
          <w:bCs/>
          <w:color w:val="auto"/>
          <w:sz w:val="84"/>
          <w:szCs w:val="84"/>
          <w:highlight w:val="none"/>
        </w:rPr>
      </w:pPr>
      <w:r>
        <w:rPr>
          <w:rFonts w:hint="eastAsia" w:eastAsia="宋体"/>
          <w:b/>
          <w:bCs/>
          <w:color w:val="auto"/>
          <w:sz w:val="84"/>
          <w:szCs w:val="84"/>
          <w:highlight w:val="none"/>
        </w:rPr>
        <w:t>突发环境事件预警信息</w:t>
      </w:r>
    </w:p>
    <w:p>
      <w:pPr>
        <w:spacing w:line="480" w:lineRule="auto"/>
        <w:jc w:val="center"/>
        <w:rPr>
          <w:rFonts w:eastAsia="宋体"/>
          <w:color w:val="auto"/>
          <w:sz w:val="32"/>
          <w:szCs w:val="40"/>
          <w:highlight w:val="none"/>
        </w:rPr>
      </w:pPr>
    </w:p>
    <w:p>
      <w:pPr>
        <w:spacing w:line="480" w:lineRule="auto"/>
        <w:ind w:firstLine="320" w:firstLineChars="100"/>
        <w:jc w:val="center"/>
        <w:rPr>
          <w:rFonts w:hint="eastAsia"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32"/>
          <w:highlight w:val="none"/>
        </w:rPr>
        <mc:AlternateContent>
          <mc:Choice Requires="wps">
            <w:drawing>
              <wp:anchor distT="0" distB="0" distL="114300" distR="114300" simplePos="0" relativeHeight="251663360" behindDoc="0" locked="0" layoutInCell="1" allowOverlap="1">
                <wp:simplePos x="0" y="0"/>
                <wp:positionH relativeFrom="column">
                  <wp:posOffset>118110</wp:posOffset>
                </wp:positionH>
                <wp:positionV relativeFrom="paragraph">
                  <wp:posOffset>318770</wp:posOffset>
                </wp:positionV>
                <wp:extent cx="5715635" cy="21590"/>
                <wp:effectExtent l="0" t="19050" r="18415" b="35560"/>
                <wp:wrapNone/>
                <wp:docPr id="97" name="直接连接符 97"/>
                <wp:cNvGraphicFramePr/>
                <a:graphic xmlns:a="http://schemas.openxmlformats.org/drawingml/2006/main">
                  <a:graphicData uri="http://schemas.microsoft.com/office/word/2010/wordprocessingShape">
                    <wps:wsp>
                      <wps:cNvCnPr/>
                      <wps:spPr>
                        <a:xfrm>
                          <a:off x="678180" y="2189480"/>
                          <a:ext cx="6381750" cy="0"/>
                        </a:xfrm>
                        <a:prstGeom prst="line">
                          <a:avLst/>
                        </a:prstGeom>
                        <a:noFill/>
                        <a:ln w="38100" cap="flat" cmpd="sng" algn="ctr">
                          <a:solidFill>
                            <a:srgbClr val="FF0000"/>
                          </a:solidFill>
                          <a:prstDash val="solid"/>
                        </a:ln>
                        <a:effectLst/>
                      </wps:spPr>
                      <wps:bodyPr/>
                    </wps:wsp>
                  </a:graphicData>
                </a:graphic>
              </wp:anchor>
            </w:drawing>
          </mc:Choice>
          <mc:Fallback>
            <w:pict>
              <v:line id="_x0000_s1026" o:spid="_x0000_s1026" o:spt="20" style="position:absolute;left:0pt;margin-left:9.3pt;margin-top:25.1pt;height:1.7pt;width:450.05pt;z-index:251663360;mso-width-relative:page;mso-height-relative:page;" filled="f" stroked="t" coordsize="21600,21600" o:gfxdata="UEsDBAoAAAAAAIdO4kAAAAAAAAAAAAAAAAAEAAAAZHJzL1BLAwQUAAAACACHTuJA5hiPftoAAAAI&#10;AQAADwAAAGRycy9kb3ducmV2LnhtbE2PwU7DMBBE70j8g7VIXBC1U0QIIU6FkBCFHigBCXFzkyWJ&#10;Gq+D7bTl71lOcJyd0eybYnGwg9ihD70jDclMgUCqXdNTq+Ht9f48AxGiocYMjlDDNwZYlMdHhckb&#10;t6cX3FWxFVxCITcauhjHXMpQd2hNmLkRib1P562JLH0rG2/2XG4HOVcqldb0xB86M+Jdh/W2mqwG&#10;+2xv5cfqYar8+vHp/Wu1XG/PllqfniTqBkTEQ/wLwy8+o0PJTBs3URPEwDpLOanhUs1BsH+dZFcg&#10;Nny4SEGWhfw/oPwBUEsDBBQAAAAIAIdO4kB4MmjP7AEAALYDAAAOAAAAZHJzL2Uyb0RvYy54bWyt&#10;k82O0zAQx+9IvIPlO01SYNuN6u5hq3JBUAl4ANdxEkv+ksfbtC/BCyBxgxNH7rzNLo/B2Ml+sFz2&#10;QA7OODP5ef7/TFYXR6PJQQZQzjJazUpKpBWuUbZj9NPH7YslJRC5bbh2VjJ6kkAv1s+frQZfy7nr&#10;nW5kIAixUA+e0T5GXxcFiF4aDjPnpcVk64LhEbehK5rAB6QbXczL8qwYXGh8cEIC4NPNmKQTMTwF&#10;6NpWCblx4spIG0dqkJpHlAS98kDXudu2lSK+b1uQkWhGUWnMKx6C8T6txXrF6y5w3ysxtcCf0sIj&#10;TYYri4feoTY8cnIV1D8oo0Rw4No4E84Uo5DsCKqoykfefOi5l1kLWg3+znT4f1jx7rALRDWMni8o&#10;sdzgF7/58vP687ffv77ievPjO8EM2jR4qLH60u7CtAO/C0nzsQ0m3VENOTJ6tlhWS/T3xOi8Wp6/&#10;wji7LI+RiJR/uawWr7FAYEXOFfcMHyC+kc6QFDCqlU0G8Jof3kJEDJbelqTH1m2V1hmvLRkYRXaZ&#10;0Bwns8WJwNB4VAe2o4TrDkdexJCR4LRq0usJBKHbX+pADhwHZbst8Upd43F/laWzNxz6sS6npjJt&#10;E0bmkZtaTY6NHqVo75pTtq5IO/ycmT6NXpqXh3uMH/5u6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GI9+2gAAAAgBAAAPAAAAAAAAAAEAIAAAACIAAABkcnMvZG93bnJldi54bWxQSwECFAAUAAAA&#10;CACHTuJAeDJoz+wBAAC2AwAADgAAAAAAAAABACAAAAApAQAAZHJzL2Uyb0RvYy54bWxQSwUGAAAA&#10;AAYABgBZAQAAhwUAAAAA&#10;">
                <v:fill on="f" focussize="0,0"/>
                <v:stroke weight="3pt" color="#FF0000" joinstyle="round"/>
                <v:imagedata o:title=""/>
                <o:lock v:ext="edit" aspectratio="f"/>
              </v:line>
            </w:pict>
          </mc:Fallback>
        </mc:AlternateContent>
      </w:r>
      <w:r>
        <w:rPr>
          <w:rFonts w:hint="eastAsia" w:ascii="仿宋_GB2312" w:hAnsi="仿宋_GB2312" w:eastAsia="仿宋_GB2312" w:cs="仿宋_GB2312"/>
          <w:color w:val="auto"/>
          <w:sz w:val="32"/>
          <w:szCs w:val="40"/>
          <w:highlight w:val="none"/>
        </w:rPr>
        <w:t>发布单位                        年  月  日（发布时间）</w:t>
      </w:r>
    </w:p>
    <w:p>
      <w:pPr>
        <w:rPr>
          <w:rFonts w:hint="eastAsia" w:ascii="楷体" w:hAnsi="楷体" w:eastAsia="楷体" w:cs="楷体"/>
          <w:color w:val="auto"/>
          <w:sz w:val="32"/>
          <w:szCs w:val="40"/>
          <w:highlight w:val="none"/>
        </w:rPr>
      </w:pPr>
      <w:r>
        <w:rPr>
          <w:rFonts w:hint="eastAsia" w:ascii="楷体" w:hAnsi="楷体" w:eastAsia="楷体" w:cs="楷体"/>
          <w:color w:val="auto"/>
          <w:sz w:val="32"/>
          <w:szCs w:val="40"/>
          <w:highlight w:val="none"/>
        </w:rPr>
        <w:t>【预警类型】</w:t>
      </w:r>
    </w:p>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2" w:char="00A3"/>
      </w:r>
      <w:r>
        <w:rPr>
          <w:rFonts w:hint="eastAsia" w:ascii="仿宋_GB2312" w:hAnsi="仿宋_GB2312" w:eastAsia="仿宋_GB2312" w:cs="仿宋_GB2312"/>
          <w:color w:val="auto"/>
          <w:sz w:val="28"/>
          <w:szCs w:val="28"/>
          <w:highlight w:val="none"/>
        </w:rPr>
        <w:t xml:space="preserve">水污染事件 </w:t>
      </w:r>
      <w:r>
        <w:rPr>
          <w:rFonts w:hint="eastAsia" w:ascii="仿宋_GB2312" w:hAnsi="仿宋_GB2312" w:eastAsia="仿宋_GB2312" w:cs="仿宋_GB2312"/>
          <w:color w:val="auto"/>
          <w:sz w:val="28"/>
          <w:szCs w:val="28"/>
          <w:highlight w:val="none"/>
        </w:rPr>
        <w:sym w:font="Wingdings 2" w:char="00A3"/>
      </w:r>
      <w:r>
        <w:rPr>
          <w:rFonts w:hint="eastAsia" w:ascii="仿宋_GB2312" w:hAnsi="仿宋_GB2312" w:eastAsia="仿宋_GB2312" w:cs="仿宋_GB2312"/>
          <w:color w:val="auto"/>
          <w:sz w:val="28"/>
          <w:szCs w:val="28"/>
          <w:highlight w:val="none"/>
        </w:rPr>
        <w:t xml:space="preserve">大气污染事件 </w:t>
      </w:r>
      <w:r>
        <w:rPr>
          <w:rFonts w:hint="eastAsia" w:ascii="仿宋_GB2312" w:hAnsi="仿宋_GB2312" w:eastAsia="仿宋_GB2312" w:cs="仿宋_GB2312"/>
          <w:color w:val="auto"/>
          <w:sz w:val="28"/>
          <w:szCs w:val="28"/>
          <w:highlight w:val="none"/>
        </w:rPr>
        <w:sym w:font="Wingdings 2" w:char="00A3"/>
      </w:r>
      <w:r>
        <w:rPr>
          <w:rFonts w:hint="eastAsia" w:ascii="仿宋_GB2312" w:hAnsi="仿宋_GB2312" w:eastAsia="仿宋_GB2312" w:cs="仿宋_GB2312"/>
          <w:color w:val="auto"/>
          <w:sz w:val="28"/>
          <w:szCs w:val="28"/>
          <w:highlight w:val="none"/>
        </w:rPr>
        <w:t xml:space="preserve">土壤污染事件 </w:t>
      </w:r>
      <w:r>
        <w:rPr>
          <w:rFonts w:hint="eastAsia" w:ascii="仿宋_GB2312" w:hAnsi="仿宋_GB2312" w:eastAsia="仿宋_GB2312" w:cs="仿宋_GB2312"/>
          <w:color w:val="auto"/>
          <w:sz w:val="28"/>
          <w:szCs w:val="28"/>
          <w:highlight w:val="none"/>
        </w:rPr>
        <w:sym w:font="Wingdings 2" w:char="00A3"/>
      </w:r>
      <w:r>
        <w:rPr>
          <w:rFonts w:hint="eastAsia" w:ascii="仿宋_GB2312" w:hAnsi="仿宋_GB2312" w:eastAsia="仿宋_GB2312" w:cs="仿宋_GB2312"/>
          <w:color w:val="auto"/>
          <w:sz w:val="28"/>
          <w:szCs w:val="28"/>
          <w:highlight w:val="none"/>
        </w:rPr>
        <w:t>放射源泄漏污染事件</w:t>
      </w:r>
    </w:p>
    <w:p>
      <w:pPr>
        <w:rPr>
          <w:rFonts w:hint="eastAsia" w:ascii="楷体" w:hAnsi="楷体" w:eastAsia="楷体" w:cs="楷体"/>
          <w:color w:val="auto"/>
          <w:sz w:val="32"/>
          <w:szCs w:val="40"/>
          <w:highlight w:val="none"/>
        </w:rPr>
      </w:pPr>
    </w:p>
    <w:p>
      <w:pPr>
        <w:rPr>
          <w:rFonts w:hint="eastAsia" w:ascii="楷体" w:hAnsi="楷体" w:eastAsia="楷体" w:cs="楷体"/>
          <w:color w:val="auto"/>
          <w:sz w:val="32"/>
          <w:szCs w:val="40"/>
          <w:highlight w:val="none"/>
        </w:rPr>
      </w:pPr>
      <w:r>
        <w:rPr>
          <w:rFonts w:hint="eastAsia" w:ascii="楷体" w:hAnsi="楷体" w:eastAsia="楷体" w:cs="楷体"/>
          <w:color w:val="auto"/>
          <w:sz w:val="32"/>
          <w:szCs w:val="40"/>
          <w:highlight w:val="none"/>
        </w:rPr>
        <w:t>【预警级别】</w:t>
      </w:r>
    </w:p>
    <w:p>
      <w:pPr>
        <w:jc w:val="center"/>
        <w:rPr>
          <w:rFonts w:hint="eastAsia"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一级(红色)   </w:t>
      </w: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二级(橙色)  </w:t>
      </w: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 xml:space="preserve">三级(黄色)  </w:t>
      </w:r>
      <w:r>
        <w:rPr>
          <w:rFonts w:hint="eastAsia" w:ascii="仿宋_GB2312" w:hAnsi="仿宋_GB2312" w:eastAsia="仿宋_GB2312" w:cs="仿宋_GB2312"/>
          <w:color w:val="auto"/>
          <w:sz w:val="28"/>
          <w:szCs w:val="36"/>
          <w:highlight w:val="none"/>
        </w:rPr>
        <w:sym w:font="Wingdings 2" w:char="00A3"/>
      </w:r>
      <w:r>
        <w:rPr>
          <w:rFonts w:hint="eastAsia" w:ascii="仿宋_GB2312" w:hAnsi="仿宋_GB2312" w:eastAsia="仿宋_GB2312" w:cs="仿宋_GB2312"/>
          <w:color w:val="auto"/>
          <w:sz w:val="28"/>
          <w:szCs w:val="36"/>
          <w:highlight w:val="none"/>
        </w:rPr>
        <w:t>四级(蓝色)</w:t>
      </w:r>
    </w:p>
    <w:p>
      <w:pPr>
        <w:rPr>
          <w:rFonts w:hint="eastAsia" w:ascii="楷体" w:hAnsi="楷体" w:eastAsia="楷体" w:cs="楷体"/>
          <w:color w:val="auto"/>
          <w:sz w:val="32"/>
          <w:szCs w:val="40"/>
          <w:highlight w:val="none"/>
        </w:rPr>
      </w:pPr>
    </w:p>
    <w:p>
      <w:pPr>
        <w:rPr>
          <w:rFonts w:hint="eastAsia" w:ascii="楷体" w:hAnsi="楷体" w:eastAsia="楷体" w:cs="楷体"/>
          <w:color w:val="auto"/>
          <w:sz w:val="32"/>
          <w:szCs w:val="40"/>
          <w:highlight w:val="none"/>
        </w:rPr>
      </w:pPr>
      <w:r>
        <w:rPr>
          <w:rFonts w:hint="eastAsia" w:ascii="楷体" w:hAnsi="楷体" w:eastAsia="楷体" w:cs="楷体"/>
          <w:color w:val="auto"/>
          <w:sz w:val="32"/>
          <w:szCs w:val="40"/>
          <w:highlight w:val="none"/>
        </w:rPr>
        <w:t>【起始时间】</w:t>
      </w:r>
    </w:p>
    <w:p>
      <w:pPr>
        <w:jc w:val="center"/>
        <w:rPr>
          <w:rFonts w:hint="eastAsia" w:ascii="楷体" w:hAnsi="楷体" w:eastAsia="楷体" w:cs="楷体"/>
          <w:color w:val="auto"/>
          <w:sz w:val="32"/>
          <w:szCs w:val="40"/>
          <w:highlight w:val="none"/>
        </w:rPr>
      </w:pPr>
    </w:p>
    <w:p>
      <w:pPr>
        <w:rPr>
          <w:rFonts w:hint="eastAsia" w:ascii="楷体" w:hAnsi="楷体" w:eastAsia="楷体" w:cs="楷体"/>
          <w:color w:val="auto"/>
          <w:sz w:val="32"/>
          <w:szCs w:val="40"/>
          <w:highlight w:val="none"/>
        </w:rPr>
      </w:pPr>
      <w:r>
        <w:rPr>
          <w:rFonts w:hint="eastAsia" w:ascii="楷体" w:hAnsi="楷体" w:eastAsia="楷体" w:cs="楷体"/>
          <w:color w:val="auto"/>
          <w:sz w:val="32"/>
          <w:szCs w:val="40"/>
          <w:highlight w:val="none"/>
        </w:rPr>
        <w:t>【事件原因】</w:t>
      </w:r>
    </w:p>
    <w:p>
      <w:pPr>
        <w:rPr>
          <w:rFonts w:hint="eastAsia" w:ascii="楷体" w:hAnsi="楷体" w:eastAsia="楷体" w:cs="楷体"/>
          <w:color w:val="auto"/>
          <w:sz w:val="32"/>
          <w:szCs w:val="40"/>
          <w:highlight w:val="none"/>
        </w:rPr>
      </w:pPr>
    </w:p>
    <w:p>
      <w:pPr>
        <w:rPr>
          <w:rFonts w:hint="eastAsia" w:ascii="楷体" w:hAnsi="楷体" w:eastAsia="楷体" w:cs="楷体"/>
          <w:color w:val="auto"/>
          <w:sz w:val="32"/>
          <w:szCs w:val="40"/>
          <w:highlight w:val="none"/>
        </w:rPr>
      </w:pPr>
      <w:r>
        <w:rPr>
          <w:rFonts w:hint="eastAsia" w:ascii="楷体" w:hAnsi="楷体" w:eastAsia="楷体" w:cs="楷体"/>
          <w:color w:val="auto"/>
          <w:sz w:val="32"/>
          <w:szCs w:val="40"/>
          <w:highlight w:val="none"/>
        </w:rPr>
        <w:t>【可能影响范围】</w:t>
      </w:r>
    </w:p>
    <w:p>
      <w:pPr>
        <w:rPr>
          <w:rFonts w:hint="eastAsia" w:ascii="楷体" w:hAnsi="楷体" w:eastAsia="楷体" w:cs="楷体"/>
          <w:color w:val="auto"/>
          <w:sz w:val="32"/>
          <w:szCs w:val="40"/>
          <w:highlight w:val="none"/>
        </w:rPr>
      </w:pPr>
    </w:p>
    <w:p>
      <w:pPr>
        <w:rPr>
          <w:rFonts w:hint="eastAsia" w:ascii="楷体" w:hAnsi="楷体" w:eastAsia="楷体" w:cs="楷体"/>
          <w:color w:val="auto"/>
          <w:sz w:val="32"/>
          <w:szCs w:val="40"/>
          <w:highlight w:val="none"/>
        </w:rPr>
      </w:pPr>
      <w:r>
        <w:rPr>
          <w:rFonts w:hint="eastAsia" w:ascii="楷体" w:hAnsi="楷体" w:eastAsia="楷体" w:cs="楷体"/>
          <w:color w:val="auto"/>
          <w:sz w:val="32"/>
          <w:szCs w:val="40"/>
          <w:highlight w:val="none"/>
        </w:rPr>
        <w:t>【警示事项】</w:t>
      </w:r>
    </w:p>
    <w:p>
      <w:pPr>
        <w:ind w:firstLine="320" w:firstLineChars="100"/>
        <w:jc w:val="center"/>
        <w:rPr>
          <w:rFonts w:hint="eastAsia" w:ascii="楷体" w:hAnsi="楷体" w:eastAsia="楷体" w:cs="楷体"/>
          <w:color w:val="auto"/>
          <w:sz w:val="32"/>
          <w:szCs w:val="40"/>
          <w:highlight w:val="none"/>
        </w:rPr>
      </w:pPr>
    </w:p>
    <w:p>
      <w:pPr>
        <w:ind w:firstLine="320" w:firstLineChars="100"/>
        <w:jc w:val="center"/>
        <w:rPr>
          <w:rFonts w:hint="eastAsia" w:ascii="楷体" w:hAnsi="楷体" w:eastAsia="楷体" w:cs="楷体"/>
          <w:color w:val="auto"/>
          <w:sz w:val="32"/>
          <w:szCs w:val="40"/>
          <w:highlight w:val="none"/>
        </w:rPr>
      </w:pPr>
    </w:p>
    <w:p>
      <w:pPr>
        <w:rPr>
          <w:rFonts w:hint="eastAsia" w:ascii="楷体" w:hAnsi="楷体" w:eastAsia="楷体" w:cs="楷体"/>
          <w:color w:val="auto"/>
          <w:sz w:val="32"/>
          <w:szCs w:val="40"/>
          <w:highlight w:val="none"/>
        </w:rPr>
      </w:pPr>
      <w:r>
        <w:rPr>
          <w:rFonts w:hint="eastAsia" w:ascii="楷体" w:hAnsi="楷体" w:eastAsia="楷体" w:cs="楷体"/>
          <w:color w:val="auto"/>
          <w:sz w:val="32"/>
          <w:szCs w:val="40"/>
          <w:highlight w:val="none"/>
        </w:rPr>
        <w:t>【防御措施】</w:t>
      </w:r>
    </w:p>
    <w:p>
      <w:pPr>
        <w:outlineLvl w:val="9"/>
        <w:rPr>
          <w:rFonts w:hint="eastAsia" w:ascii="楷体" w:hAnsi="楷体" w:eastAsia="楷体" w:cs="楷体"/>
          <w:color w:val="auto"/>
          <w:sz w:val="32"/>
          <w:szCs w:val="40"/>
          <w:highlight w:val="none"/>
        </w:rPr>
      </w:pPr>
    </w:p>
    <w:p>
      <w:pPr>
        <w:outlineLvl w:val="9"/>
        <w:rPr>
          <w:rFonts w:hint="eastAsia"/>
        </w:rPr>
      </w:pPr>
    </w:p>
    <w:p>
      <w:pPr>
        <w:rPr>
          <w:rFonts w:hint="eastAsia" w:ascii="楷体" w:hAnsi="楷体" w:eastAsia="楷体" w:cs="楷体"/>
          <w:color w:val="auto"/>
          <w:sz w:val="32"/>
          <w:szCs w:val="40"/>
          <w:highlight w:val="none"/>
        </w:rPr>
      </w:pPr>
    </w:p>
    <w:p>
      <w:pPr>
        <w:pStyle w:val="5"/>
        <w:rPr>
          <w:rFonts w:hint="eastAsia"/>
        </w:rPr>
        <w:sectPr>
          <w:pgSz w:w="11906" w:h="16838"/>
          <w:pgMar w:top="720" w:right="1726" w:bottom="720" w:left="1140" w:header="851" w:footer="992" w:gutter="0"/>
          <w:pgNumType w:fmt="decimal"/>
          <w:cols w:space="720" w:num="1"/>
          <w:docGrid w:type="linesAndChars" w:linePitch="312" w:charSpace="0"/>
        </w:sectPr>
      </w:pPr>
    </w:p>
    <w:p>
      <w:pPr>
        <w:spacing w:line="560" w:lineRule="exact"/>
        <w:outlineLvl w:val="1"/>
        <w:rPr>
          <w:rFonts w:hint="eastAsia" w:eastAsia="楷体_GB2312"/>
          <w:b/>
          <w:color w:val="auto"/>
          <w:sz w:val="32"/>
          <w:szCs w:val="32"/>
          <w:highlight w:val="none"/>
        </w:rPr>
      </w:pPr>
      <w:bookmarkStart w:id="125" w:name="_Toc16105"/>
      <w:bookmarkStart w:id="126" w:name="_Toc15046"/>
      <w:r>
        <w:rPr>
          <w:rFonts w:hint="eastAsia" w:eastAsia="楷体_GB2312"/>
          <w:b/>
          <w:color w:val="auto"/>
          <w:sz w:val="32"/>
          <w:szCs w:val="32"/>
          <w:highlight w:val="none"/>
        </w:rPr>
        <w:t>附件4 信息报告模板</w:t>
      </w:r>
      <w:bookmarkEnd w:id="125"/>
      <w:bookmarkEnd w:id="126"/>
    </w:p>
    <w:p>
      <w:pPr>
        <w:keepNext w:val="0"/>
        <w:keepLines w:val="0"/>
        <w:pageBreakBefore w:val="0"/>
        <w:widowControl w:val="0"/>
        <w:kinsoku/>
        <w:wordWrap/>
        <w:overflowPunct/>
        <w:topLinePunct w:val="0"/>
        <w:autoSpaceDE/>
        <w:autoSpaceDN/>
        <w:bidi w:val="0"/>
        <w:adjustRightInd/>
        <w:snapToGrid/>
        <w:spacing w:before="313" w:beforeLines="100" w:after="120"/>
        <w:textAlignment w:val="auto"/>
        <w:outlineLvl w:val="2"/>
        <w:rPr>
          <w:rFonts w:eastAsia="楷体_GB2312"/>
          <w:b/>
          <w:bCs/>
          <w:color w:val="auto"/>
          <w:sz w:val="30"/>
          <w:szCs w:val="30"/>
          <w:highlight w:val="none"/>
        </w:rPr>
      </w:pPr>
      <w:bookmarkStart w:id="127" w:name="_Toc8903"/>
      <w:bookmarkStart w:id="128" w:name="_Toc6497"/>
      <w:r>
        <w:rPr>
          <w:rFonts w:hint="eastAsia" w:eastAsia="楷体_GB2312"/>
          <w:b/>
          <w:bCs/>
          <w:color w:val="auto"/>
          <w:sz w:val="30"/>
          <w:szCs w:val="30"/>
          <w:highlight w:val="none"/>
        </w:rPr>
        <w:t>附4.1  初报</w:t>
      </w:r>
      <w:bookmarkEnd w:id="127"/>
      <w:bookmarkEnd w:id="128"/>
    </w:p>
    <w:p>
      <w:pPr>
        <w:spacing w:line="480" w:lineRule="auto"/>
        <w:jc w:val="center"/>
        <w:rPr>
          <w:rFonts w:eastAsia="宋体"/>
          <w:b/>
          <w:bCs/>
          <w:color w:val="auto"/>
          <w:sz w:val="84"/>
          <w:szCs w:val="84"/>
          <w:highlight w:val="none"/>
        </w:rPr>
      </w:pPr>
      <w:r>
        <w:rPr>
          <w:rFonts w:hint="eastAsia" w:eastAsia="宋体"/>
          <w:b/>
          <w:bCs/>
          <w:color w:val="auto"/>
          <w:sz w:val="84"/>
          <w:szCs w:val="84"/>
          <w:highlight w:val="none"/>
        </w:rPr>
        <w:t>突发环境事件报告文件</w:t>
      </w:r>
    </w:p>
    <w:p>
      <w:pPr>
        <w:spacing w:line="480" w:lineRule="auto"/>
        <w:ind w:firstLine="520" w:firstLineChars="100"/>
        <w:jc w:val="center"/>
        <w:rPr>
          <w:rFonts w:hint="eastAsia" w:eastAsia="宋体"/>
          <w:b/>
          <w:bCs/>
          <w:color w:val="auto"/>
          <w:sz w:val="52"/>
          <w:szCs w:val="52"/>
          <w:highlight w:val="none"/>
        </w:rPr>
      </w:pPr>
      <w:r>
        <w:rPr>
          <w:rFonts w:hint="eastAsia" w:eastAsia="宋体"/>
          <w:b/>
          <w:bCs/>
          <w:color w:val="auto"/>
          <w:sz w:val="52"/>
          <w:szCs w:val="52"/>
          <w:highlight w:val="none"/>
        </w:rPr>
        <w:t>（初报）</w:t>
      </w:r>
    </w:p>
    <w:p>
      <w:pPr>
        <w:ind w:firstLine="320" w:firstLineChars="100"/>
        <w:jc w:val="center"/>
        <w:rPr>
          <w:rFonts w:hint="eastAsia" w:eastAsia="宋体"/>
          <w:b/>
          <w:bCs/>
          <w:color w:val="auto"/>
          <w:sz w:val="72"/>
          <w:szCs w:val="144"/>
          <w:highlight w:val="none"/>
        </w:rPr>
      </w:pPr>
      <w:r>
        <w:rPr>
          <w:rFonts w:eastAsia="宋体"/>
          <w:color w:val="auto"/>
          <w:sz w:val="32"/>
          <w:highlight w:val="none"/>
        </w:rPr>
        <mc:AlternateContent>
          <mc:Choice Requires="wps">
            <w:drawing>
              <wp:anchor distT="0" distB="0" distL="114300" distR="114300" simplePos="0" relativeHeight="251665408" behindDoc="0" locked="0" layoutInCell="1" allowOverlap="1">
                <wp:simplePos x="0" y="0"/>
                <wp:positionH relativeFrom="column">
                  <wp:posOffset>179070</wp:posOffset>
                </wp:positionH>
                <wp:positionV relativeFrom="paragraph">
                  <wp:posOffset>161925</wp:posOffset>
                </wp:positionV>
                <wp:extent cx="5599430" cy="635"/>
                <wp:effectExtent l="0" t="19050" r="1270" b="37465"/>
                <wp:wrapNone/>
                <wp:docPr id="98" name="直接连接符 98"/>
                <wp:cNvGraphicFramePr/>
                <a:graphic xmlns:a="http://schemas.openxmlformats.org/drawingml/2006/main">
                  <a:graphicData uri="http://schemas.microsoft.com/office/word/2010/wordprocessingShape">
                    <wps:wsp>
                      <wps:cNvCnPr/>
                      <wps:spPr>
                        <a:xfrm>
                          <a:off x="0" y="0"/>
                          <a:ext cx="6381750" cy="0"/>
                        </a:xfrm>
                        <a:prstGeom prst="line">
                          <a:avLst/>
                        </a:prstGeom>
                        <a:noFill/>
                        <a:ln w="38100" cap="flat" cmpd="sng" algn="ctr">
                          <a:solidFill>
                            <a:srgbClr val="FF0000"/>
                          </a:solidFill>
                          <a:prstDash val="solid"/>
                        </a:ln>
                        <a:effectLst/>
                      </wps:spPr>
                      <wps:bodyPr/>
                    </wps:wsp>
                  </a:graphicData>
                </a:graphic>
              </wp:anchor>
            </w:drawing>
          </mc:Choice>
          <mc:Fallback>
            <w:pict>
              <v:line id="_x0000_s1026" o:spid="_x0000_s1026" o:spt="20" style="position:absolute;left:0pt;margin-left:14.1pt;margin-top:12.75pt;height:0.05pt;width:440.9pt;z-index:251665408;mso-width-relative:page;mso-height-relative:page;" filled="f" stroked="t" coordsize="21600,21600" o:gfxdata="UEsDBAoAAAAAAIdO4kAAAAAAAAAAAAAAAAAEAAAAZHJzL1BLAwQUAAAACACHTuJA3X+AwNoAAAAI&#10;AQAADwAAAGRycy9kb3ducmV2LnhtbE2PQUvDQBCF74L/YRnBi7SbBFpqzKaIIFZ7sKaCeNtmxyQ0&#10;Oxt3N239905Pehpm3uPN94rlyfbigD50jhSk0wQEUu1MR42C9+3jZAEiRE1G945QwQ8GWJaXF4XO&#10;jTvSGx6q2AgOoZBrBW2MQy5lqFu0OkzdgMTal/NWR159I43XRw63vcySZC6t7og/tHrAhxbrfTVa&#10;BfbV3svP9dNY+c3zy8f3erXZ36yUur5KkzsQEU/xzwxnfEaHkpl2biQTRK8gW2Ts5DmbgWD9Nk24&#10;2+58mIMsC/m/QPkLUEsDBBQAAAAIAIdO4kCq7eYO3wEAAKsDAAAOAAAAZHJzL2Uyb0RvYy54bWyt&#10;U82O0zAQviPxDpbvNOkiliVquoetygVBJeABXMdOLPlPM96mfQleAIkbnDhy523YfQzGbrYsy2UP&#10;5ODMeCbfzPfNZHG5d5btFKAJvuXzWc2Z8jJ0xvct//hh/eyCM0zCd8IGr1p+UMgvl0+fLMbYqLMw&#10;BNspYATisRljy4eUYlNVKAflBM5CVJ6COoATiVzoqw7ESOjOVmd1fV6NAboIQSpEul0dg3xChMcA&#10;Bq2NVKsgr53y6YgKyopElHAwEfmydKu1kumd1qgSsy0npqmcVITsbT6r5UI0PYg4GDm1IB7TwgNO&#10;ThhPRU9QK5EEuwbzD5QzEgIGnWYyuOpIpChCLOb1A23eDyKqwoWkxngSHf8frHy72wAzXctf0dy9&#10;cDTxm88/fn36evvzC503378xipBMY8SGsq/8BiYP4wYy570Gl9/Ehu2LtIeTtGqfmKTL8+cX85cv&#10;SHV5F6v+fBgB02sVHMtGy63xmbVoxO4NJipGqXcp+dqHtbG2TM56NracsOsMLWgdNa0BmS4SJfQ9&#10;Z8L2tOcyQYHEYE2XP89ACP32ygLbCdqO9bqmJzOlcn+l5dorgcMxr4SmNOszjCp7NrWaZToKk61t&#10;6A5Fryp7NMOCPu1bXpL7Ptn3/7H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1/gMDaAAAACAEA&#10;AA8AAAAAAAAAAQAgAAAAIgAAAGRycy9kb3ducmV2LnhtbFBLAQIUABQAAAAIAIdO4kCq7eYO3wEA&#10;AKsDAAAOAAAAAAAAAAEAIAAAACkBAABkcnMvZTJvRG9jLnhtbFBLBQYAAAAABgAGAFkBAAB6BQAA&#10;AAA=&#10;">
                <v:fill on="f" focussize="0,0"/>
                <v:stroke weight="3pt" color="#FF0000" joinstyle="round"/>
                <v:imagedata o:title=""/>
                <o:lock v:ext="edit" aspectratio="f"/>
              </v:line>
            </w:pict>
          </mc:Fallback>
        </mc:AlternateContent>
      </w:r>
    </w:p>
    <w:p>
      <w:pPr>
        <w:ind w:firstLine="440" w:firstLineChars="100"/>
        <w:jc w:val="center"/>
        <w:rPr>
          <w:rFonts w:hint="eastAsia" w:ascii="方正小标宋简体" w:hAnsi="方正小标宋简体" w:eastAsia="方正小标宋简体" w:cs="方正小标宋简体"/>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rPr>
        <w:t>关于XXX突发环境事件情况报告</w:t>
      </w:r>
    </w:p>
    <w:p>
      <w:pPr>
        <w:ind w:firstLine="320" w:firstLineChars="100"/>
        <w:rPr>
          <w:rFonts w:hint="eastAsia"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32"/>
          <w:szCs w:val="40"/>
          <w:highlight w:val="none"/>
        </w:rPr>
        <w:t>XXX（报送单位）：</w:t>
      </w:r>
    </w:p>
    <w:p>
      <w:pPr>
        <w:ind w:firstLine="320" w:firstLineChars="100"/>
        <w:rPr>
          <w:rFonts w:hint="eastAsia"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32"/>
          <w:szCs w:val="40"/>
          <w:highlight w:val="none"/>
        </w:rPr>
        <w:t xml:space="preserve">    XX年XX月XX日XX时XX分，XX地发生突发环境事件，事件具体信息如下：</w:t>
      </w:r>
    </w:p>
    <w:p>
      <w:pPr>
        <w:ind w:firstLine="320" w:firstLineChars="100"/>
        <w:rPr>
          <w:rFonts w:hint="eastAsia" w:ascii="楷体" w:hAnsi="楷体" w:eastAsia="楷体" w:cs="楷体"/>
          <w:color w:val="auto"/>
          <w:sz w:val="32"/>
          <w:szCs w:val="40"/>
          <w:highlight w:val="none"/>
        </w:rPr>
      </w:pPr>
      <w:r>
        <w:rPr>
          <w:rFonts w:hint="eastAsia" w:ascii="楷体" w:hAnsi="楷体" w:eastAsia="楷体" w:cs="楷体"/>
          <w:color w:val="auto"/>
          <w:sz w:val="32"/>
          <w:szCs w:val="40"/>
          <w:highlight w:val="none"/>
        </w:rPr>
        <w:t>【污染类型】</w:t>
      </w:r>
    </w:p>
    <w:p>
      <w:pPr>
        <w:ind w:firstLine="320" w:firstLineChars="100"/>
        <w:rPr>
          <w:rFonts w:hint="eastAsia" w:ascii="楷体" w:hAnsi="楷体" w:eastAsia="楷体" w:cs="楷体"/>
          <w:color w:val="auto"/>
          <w:sz w:val="32"/>
          <w:szCs w:val="40"/>
          <w:highlight w:val="none"/>
        </w:rPr>
      </w:pPr>
      <w:r>
        <w:rPr>
          <w:rFonts w:hint="eastAsia" w:ascii="楷体" w:hAnsi="楷体" w:eastAsia="楷体" w:cs="楷体"/>
          <w:color w:val="auto"/>
          <w:sz w:val="32"/>
          <w:szCs w:val="40"/>
          <w:highlight w:val="none"/>
        </w:rPr>
        <w:t>【初步原因】</w:t>
      </w:r>
    </w:p>
    <w:p>
      <w:pPr>
        <w:ind w:firstLine="320" w:firstLineChars="100"/>
        <w:rPr>
          <w:rFonts w:hint="eastAsia" w:ascii="楷体" w:hAnsi="楷体" w:eastAsia="楷体" w:cs="楷体"/>
          <w:color w:val="auto"/>
          <w:sz w:val="30"/>
          <w:szCs w:val="30"/>
          <w:highlight w:val="none"/>
        </w:rPr>
      </w:pPr>
      <w:r>
        <w:rPr>
          <w:rFonts w:hint="eastAsia" w:ascii="楷体" w:hAnsi="楷体" w:eastAsia="楷体" w:cs="楷体"/>
          <w:color w:val="auto"/>
          <w:sz w:val="32"/>
          <w:szCs w:val="40"/>
          <w:highlight w:val="none"/>
        </w:rPr>
        <w:t>【主要污染物】</w:t>
      </w:r>
    </w:p>
    <w:p>
      <w:pPr>
        <w:ind w:firstLine="320" w:firstLineChars="100"/>
        <w:rPr>
          <w:rFonts w:hint="eastAsia" w:ascii="楷体" w:hAnsi="楷体" w:eastAsia="楷体" w:cs="楷体"/>
          <w:color w:val="auto"/>
          <w:sz w:val="32"/>
          <w:szCs w:val="40"/>
          <w:highlight w:val="none"/>
        </w:rPr>
      </w:pPr>
      <w:r>
        <w:rPr>
          <w:rFonts w:hint="eastAsia" w:ascii="楷体" w:hAnsi="楷体" w:eastAsia="楷体" w:cs="楷体"/>
          <w:color w:val="auto"/>
          <w:sz w:val="32"/>
          <w:szCs w:val="40"/>
          <w:highlight w:val="none"/>
        </w:rPr>
        <w:t>【人员伤亡情况】</w:t>
      </w:r>
    </w:p>
    <w:p>
      <w:pPr>
        <w:ind w:firstLine="320" w:firstLineChars="100"/>
        <w:rPr>
          <w:rFonts w:hint="eastAsia" w:ascii="楷体" w:hAnsi="楷体" w:eastAsia="楷体" w:cs="楷体"/>
          <w:color w:val="auto"/>
          <w:sz w:val="32"/>
          <w:szCs w:val="40"/>
          <w:highlight w:val="none"/>
        </w:rPr>
      </w:pPr>
      <w:r>
        <w:rPr>
          <w:rFonts w:hint="eastAsia" w:ascii="楷体" w:hAnsi="楷体" w:eastAsia="楷体" w:cs="楷体"/>
          <w:color w:val="auto"/>
          <w:sz w:val="32"/>
          <w:szCs w:val="40"/>
          <w:highlight w:val="none"/>
        </w:rPr>
        <w:t>【是否涉及自然保护区情况】</w:t>
      </w:r>
      <w:r>
        <w:rPr>
          <w:rFonts w:hint="eastAsia" w:ascii="楷体" w:hAnsi="楷体" w:eastAsia="楷体" w:cs="楷体"/>
          <w:color w:val="auto"/>
          <w:sz w:val="32"/>
          <w:szCs w:val="40"/>
          <w:highlight w:val="none"/>
        </w:rPr>
        <w:sym w:font="Wingdings" w:char="00A8"/>
      </w:r>
      <w:r>
        <w:rPr>
          <w:rFonts w:hint="eastAsia" w:ascii="仿宋_GB2312" w:hAnsi="仿宋_GB2312" w:eastAsia="仿宋_GB2312" w:cs="仿宋_GB2312"/>
          <w:color w:val="auto"/>
          <w:sz w:val="32"/>
          <w:szCs w:val="40"/>
          <w:highlight w:val="none"/>
        </w:rPr>
        <w:t xml:space="preserve">否      </w:t>
      </w:r>
      <w:r>
        <w:rPr>
          <w:rFonts w:hint="eastAsia" w:ascii="仿宋_GB2312" w:hAnsi="仿宋_GB2312" w:eastAsia="仿宋_GB2312" w:cs="仿宋_GB2312"/>
          <w:color w:val="auto"/>
          <w:sz w:val="32"/>
          <w:szCs w:val="40"/>
          <w:highlight w:val="none"/>
        </w:rPr>
        <w:sym w:font="Wingdings" w:char="00A8"/>
      </w:r>
      <w:r>
        <w:rPr>
          <w:rFonts w:hint="eastAsia" w:ascii="仿宋_GB2312" w:hAnsi="仿宋_GB2312" w:eastAsia="仿宋_GB2312" w:cs="仿宋_GB2312"/>
          <w:color w:val="auto"/>
          <w:sz w:val="32"/>
          <w:szCs w:val="40"/>
          <w:highlight w:val="none"/>
        </w:rPr>
        <w:t>是，保护区具体情况：</w:t>
      </w:r>
    </w:p>
    <w:p>
      <w:pPr>
        <w:ind w:firstLine="320" w:firstLineChars="100"/>
        <w:rPr>
          <w:rFonts w:hint="eastAsia" w:ascii="楷体" w:hAnsi="楷体" w:eastAsia="楷体" w:cs="楷体"/>
          <w:color w:val="auto"/>
          <w:sz w:val="32"/>
          <w:szCs w:val="40"/>
          <w:highlight w:val="none"/>
        </w:rPr>
      </w:pPr>
      <w:r>
        <w:rPr>
          <w:rFonts w:hint="eastAsia" w:ascii="楷体" w:hAnsi="楷体" w:eastAsia="楷体" w:cs="楷体"/>
          <w:color w:val="auto"/>
          <w:sz w:val="32"/>
          <w:szCs w:val="40"/>
          <w:highlight w:val="none"/>
        </w:rPr>
        <w:t>【事件潜在危害程度】</w:t>
      </w:r>
      <w:r>
        <w:rPr>
          <w:rFonts w:hint="eastAsia" w:ascii="仿宋_GB2312" w:hAnsi="仿宋_GB2312" w:eastAsia="仿宋_GB2312" w:cs="仿宋_GB2312"/>
          <w:color w:val="auto"/>
          <w:sz w:val="32"/>
          <w:szCs w:val="40"/>
          <w:highlight w:val="none"/>
        </w:rPr>
        <w:t>（包括可能波及的区域）</w:t>
      </w:r>
    </w:p>
    <w:p>
      <w:pPr>
        <w:ind w:firstLine="320" w:firstLineChars="100"/>
        <w:rPr>
          <w:rFonts w:hint="eastAsia" w:ascii="楷体" w:hAnsi="楷体" w:eastAsia="楷体" w:cs="楷体"/>
          <w:color w:val="auto"/>
          <w:sz w:val="32"/>
          <w:szCs w:val="40"/>
          <w:highlight w:val="none"/>
        </w:rPr>
      </w:pPr>
      <w:r>
        <w:rPr>
          <w:rFonts w:hint="eastAsia" w:ascii="楷体" w:hAnsi="楷体" w:eastAsia="楷体" w:cs="楷体"/>
          <w:color w:val="auto"/>
          <w:sz w:val="32"/>
          <w:szCs w:val="40"/>
          <w:highlight w:val="none"/>
        </w:rPr>
        <w:t>【参与处置的部门】</w:t>
      </w:r>
    </w:p>
    <w:p>
      <w:pPr>
        <w:rPr>
          <w:rFonts w:hint="eastAsia" w:ascii="楷体" w:hAnsi="楷体" w:eastAsia="楷体" w:cs="楷体"/>
          <w:color w:val="auto"/>
          <w:sz w:val="32"/>
          <w:szCs w:val="40"/>
          <w:highlight w:val="none"/>
        </w:rPr>
      </w:pPr>
    </w:p>
    <w:p>
      <w:pPr>
        <w:jc w:val="right"/>
        <w:rPr>
          <w:rFonts w:hint="eastAsia" w:eastAsia="宋体"/>
          <w:color w:val="auto"/>
          <w:sz w:val="32"/>
          <w:szCs w:val="40"/>
          <w:highlight w:val="none"/>
        </w:rPr>
      </w:pPr>
      <w:r>
        <w:rPr>
          <w:rFonts w:hint="eastAsia" w:ascii="仿宋_GB2312" w:hAnsi="仿宋_GB2312" w:eastAsia="仿宋_GB2312" w:cs="仿宋_GB2312"/>
          <w:color w:val="auto"/>
          <w:sz w:val="32"/>
          <w:szCs w:val="40"/>
          <w:highlight w:val="none"/>
        </w:rPr>
        <w:t>报告单位（盖章）</w:t>
      </w:r>
    </w:p>
    <w:p>
      <w:pPr>
        <w:jc w:val="right"/>
        <w:rPr>
          <w:rFonts w:hint="eastAsia"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32"/>
          <w:szCs w:val="40"/>
          <w:highlight w:val="none"/>
        </w:rPr>
        <w:t>年  月  日（报告时间）</w:t>
      </w:r>
    </w:p>
    <w:p>
      <w:pPr>
        <w:spacing w:line="560" w:lineRule="exact"/>
        <w:outlineLvl w:val="1"/>
        <w:rPr>
          <w:rFonts w:hint="eastAsia" w:ascii="仿宋_GB2312" w:hAnsi="仿宋_GB2312" w:eastAsia="仿宋_GB2312" w:cs="仿宋_GB2312"/>
          <w:b/>
          <w:color w:val="auto"/>
          <w:sz w:val="32"/>
          <w:szCs w:val="32"/>
          <w:highlight w:val="none"/>
        </w:rPr>
        <w:sectPr>
          <w:footerReference r:id="rId5" w:type="default"/>
          <w:pgSz w:w="11906" w:h="16838"/>
          <w:pgMar w:top="720" w:right="1726" w:bottom="720" w:left="1140" w:header="851" w:footer="992" w:gutter="0"/>
          <w:pgNumType w:fmt="decimal"/>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120"/>
        <w:textAlignment w:val="auto"/>
        <w:outlineLvl w:val="2"/>
        <w:rPr>
          <w:rFonts w:hint="eastAsia" w:eastAsia="楷体_GB2312"/>
          <w:b/>
          <w:bCs/>
          <w:color w:val="auto"/>
          <w:sz w:val="30"/>
          <w:szCs w:val="30"/>
          <w:highlight w:val="none"/>
        </w:rPr>
      </w:pPr>
      <w:bookmarkStart w:id="129" w:name="_Toc25108"/>
      <w:bookmarkStart w:id="130" w:name="_Toc6132"/>
      <w:r>
        <w:rPr>
          <w:rFonts w:hint="eastAsia" w:eastAsia="楷体_GB2312"/>
          <w:b/>
          <w:bCs/>
          <w:color w:val="auto"/>
          <w:sz w:val="30"/>
          <w:szCs w:val="30"/>
          <w:highlight w:val="none"/>
        </w:rPr>
        <w:t>附4.2  续报</w:t>
      </w:r>
      <w:bookmarkEnd w:id="129"/>
      <w:bookmarkEnd w:id="130"/>
    </w:p>
    <w:p>
      <w:pPr>
        <w:spacing w:line="720" w:lineRule="auto"/>
        <w:jc w:val="center"/>
        <w:rPr>
          <w:rFonts w:eastAsia="宋体"/>
          <w:b/>
          <w:bCs/>
          <w:color w:val="auto"/>
          <w:sz w:val="84"/>
          <w:szCs w:val="84"/>
          <w:highlight w:val="none"/>
        </w:rPr>
      </w:pPr>
      <w:r>
        <w:rPr>
          <w:rFonts w:hint="eastAsia" w:eastAsia="宋体"/>
          <w:b/>
          <w:bCs/>
          <w:color w:val="auto"/>
          <w:sz w:val="84"/>
          <w:szCs w:val="84"/>
          <w:highlight w:val="none"/>
        </w:rPr>
        <w:t>突发环境事件报告文件</w:t>
      </w:r>
    </w:p>
    <w:p>
      <w:pPr>
        <w:spacing w:line="720" w:lineRule="auto"/>
        <w:ind w:firstLine="520" w:firstLineChars="100"/>
        <w:jc w:val="center"/>
        <w:rPr>
          <w:rFonts w:hint="eastAsia" w:eastAsia="宋体"/>
          <w:b/>
          <w:bCs/>
          <w:color w:val="auto"/>
          <w:sz w:val="52"/>
          <w:szCs w:val="52"/>
          <w:highlight w:val="none"/>
        </w:rPr>
      </w:pPr>
      <w:r>
        <w:rPr>
          <w:rFonts w:hint="eastAsia" w:eastAsia="宋体"/>
          <w:b/>
          <w:bCs/>
          <w:color w:val="auto"/>
          <w:sz w:val="52"/>
          <w:szCs w:val="52"/>
          <w:highlight w:val="none"/>
        </w:rPr>
        <w:t>（续报）</w:t>
      </w:r>
    </w:p>
    <w:p>
      <w:pPr>
        <w:spacing w:line="720" w:lineRule="auto"/>
        <w:ind w:firstLine="320" w:firstLineChars="100"/>
        <w:jc w:val="center"/>
        <w:rPr>
          <w:rFonts w:hint="eastAsia" w:eastAsia="宋体"/>
          <w:b/>
          <w:bCs/>
          <w:color w:val="auto"/>
          <w:sz w:val="72"/>
          <w:szCs w:val="144"/>
          <w:highlight w:val="none"/>
        </w:rPr>
      </w:pPr>
      <w:r>
        <w:rPr>
          <w:rFonts w:eastAsia="宋体"/>
          <w:color w:val="auto"/>
          <w:sz w:val="32"/>
          <w:highlight w:val="none"/>
        </w:rPr>
        <mc:AlternateContent>
          <mc:Choice Requires="wps">
            <w:drawing>
              <wp:anchor distT="0" distB="0" distL="114300" distR="114300" simplePos="0" relativeHeight="251666432" behindDoc="0" locked="0" layoutInCell="1" allowOverlap="1">
                <wp:simplePos x="0" y="0"/>
                <wp:positionH relativeFrom="column">
                  <wp:posOffset>179070</wp:posOffset>
                </wp:positionH>
                <wp:positionV relativeFrom="paragraph">
                  <wp:posOffset>162560</wp:posOffset>
                </wp:positionV>
                <wp:extent cx="5652135" cy="10160"/>
                <wp:effectExtent l="0" t="3175" r="5715" b="24765"/>
                <wp:wrapNone/>
                <wp:docPr id="100" name="直接连接符 100"/>
                <wp:cNvGraphicFramePr/>
                <a:graphic xmlns:a="http://schemas.openxmlformats.org/drawingml/2006/main">
                  <a:graphicData uri="http://schemas.microsoft.com/office/word/2010/wordprocessingShape">
                    <wps:wsp>
                      <wps:cNvCnPr/>
                      <wps:spPr>
                        <a:xfrm flipV="1">
                          <a:off x="0" y="0"/>
                          <a:ext cx="5652135" cy="1016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1pt;margin-top:12.8pt;height:0.8pt;width:445.05pt;z-index:251666432;mso-width-relative:page;mso-height-relative:page;" filled="f" stroked="t" coordsize="21600,21600" o:gfxdata="UEsDBAoAAAAAAIdO4kAAAAAAAAAAAAAAAAAEAAAAZHJzL1BLAwQUAAAACACHTuJA7G7DZ9gAAAAI&#10;AQAADwAAAGRycy9kb3ducmV2LnhtbE2PMU/DMBCFdyT+g3VIbNRJKkqaxukAQmJgoQWJ0Y2vcWh8&#10;DrHTpvx6jqlMp7v39O575XpynTjiEFpPCtJZAgKp9qalRsH79vkuBxGiJqM7T6jgjAHW1fVVqQvj&#10;T/SGx01sBIdQKLQCG2NfSBlqi06Hme+RWNv7wenI69BIM+gTh7tOZkmykE63xB+s7vHRYn3YjE7B&#10;x6fF72z59GoP25/5V3wZ5Xkalbq9SZMViIhTvJjhD5/RoWKmnR/JBNEpyPKMnTzvFyBYX6b5HMSO&#10;Dw8ZyKqU/wtUv1BLAwQUAAAACACHTuJA1ROxQwUCAAD3AwAADgAAAGRycy9lMm9Eb2MueG1srVM7&#10;jtswEO0D5A4E+1iSFzYWguUt1nGaIDGQTz+mSIkAfyBpy75ELhAgXVKlTJ/bZPcYGVKOs7tpXEQF&#10;MeQM38x7elzcHLQie+6DtKah1aSkhBtmW2m6hn54v35xTUmIYFpQ1vCGHnmgN8vnzxaDq/nU9la1&#10;3BMEMaEeXEP7GF1dFIH1XEOYWMcNJoX1GiJufVe0HgZE16qYluW8GKxvnbeMh4CnqzFJT4j+EkAr&#10;hGR8ZdlOcxNHVM8VRKQUeukCXeZpheAsvhUi8EhUQ5FpzCs2wXib1mK5gLrz4HrJTiPAJSM84aRB&#10;Gmx6hlpBBLLz8h8oLZm3wYo4YVYXI5GsCLKoyifavOvB8cwFpQ7uLHr4f7DszX7jiWzRCSVqYkDj&#10;L7/7/OPXp6/3P7/gevf9G0kpFGpwocb6W7Pxp11wG59YH4TXRCjpPiJO1gGZkUOW+XiWmR8iYXg4&#10;m8+m1dWMEoa5qqzmGb0YYRKc8yG+4laTFDRUSZNUgBr2r0PE1lj6pyQdK0OGhl5dZwYM0JMCvYDw&#10;2iGvYLp8OVgl27VUKl0JvtveKk/2gL5Yr0v8EkMEflSWuqwg9GNdTo2O6Tm0L01L4tGhXgYfCk0z&#10;aN5Soji+qxQhINQRpLqkElsrgxMkkUdZU7S17RH/z8552fUoRZWnTBn0Q5735N1kuIf7jPT3vS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xuw2fYAAAACAEAAA8AAAAAAAAAAQAgAAAAIgAAAGRy&#10;cy9kb3ducmV2LnhtbFBLAQIUABQAAAAIAIdO4kDVE7FDBQIAAPcDAAAOAAAAAAAAAAEAIAAAACcB&#10;AABkcnMvZTJvRG9jLnhtbFBLBQYAAAAABgAGAFkBAACeBQAAAAA=&#10;">
                <v:fill on="f" focussize="0,0"/>
                <v:stroke weight="3pt" color="#FF0000" joinstyle="round"/>
                <v:imagedata o:title=""/>
                <o:lock v:ext="edit" aspectratio="f"/>
              </v:line>
            </w:pict>
          </mc:Fallback>
        </mc:AlternateContent>
      </w:r>
    </w:p>
    <w:p>
      <w:pPr>
        <w:ind w:firstLine="440" w:firstLineChars="100"/>
        <w:jc w:val="center"/>
        <w:rPr>
          <w:rFonts w:hint="eastAsia" w:ascii="方正小标宋简体" w:hAnsi="方正小标宋简体" w:eastAsia="方正小标宋简体" w:cs="方正小标宋简体"/>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rPr>
        <w:t>关于XXX突发环境事件情况报告</w:t>
      </w:r>
    </w:p>
    <w:p>
      <w:pPr>
        <w:ind w:firstLine="320" w:firstLineChars="100"/>
        <w:rPr>
          <w:rFonts w:hint="eastAsia"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32"/>
          <w:szCs w:val="40"/>
          <w:highlight w:val="none"/>
        </w:rPr>
        <w:t>XXX（报送单位）：</w:t>
      </w:r>
    </w:p>
    <w:p>
      <w:pPr>
        <w:ind w:firstLine="320" w:firstLineChars="100"/>
        <w:rPr>
          <w:rFonts w:hint="eastAsia" w:ascii="楷体" w:hAnsi="楷体" w:eastAsia="楷体" w:cs="楷体"/>
          <w:color w:val="auto"/>
          <w:sz w:val="32"/>
          <w:szCs w:val="40"/>
          <w:highlight w:val="none"/>
        </w:rPr>
      </w:pPr>
      <w:r>
        <w:rPr>
          <w:rFonts w:hint="eastAsia" w:ascii="仿宋_GB2312" w:hAnsi="仿宋_GB2312" w:eastAsia="仿宋_GB2312" w:cs="仿宋_GB2312"/>
          <w:color w:val="auto"/>
          <w:sz w:val="32"/>
          <w:szCs w:val="40"/>
          <w:highlight w:val="none"/>
        </w:rPr>
        <w:t xml:space="preserve">    XX年XX月XX日XX时XX分，XX地发生突发环境事件，于XX年XX月XX日XX时XX分（初告时间）将初步情况上报，根据现场处置情况及事件发展态势，现将最新情况汇报如下：</w:t>
      </w:r>
    </w:p>
    <w:p>
      <w:pPr>
        <w:ind w:firstLine="320" w:firstLineChars="100"/>
        <w:rPr>
          <w:rFonts w:hint="eastAsia" w:ascii="楷体" w:hAnsi="楷体" w:eastAsia="楷体" w:cs="楷体"/>
          <w:color w:val="auto"/>
          <w:sz w:val="32"/>
          <w:szCs w:val="40"/>
          <w:highlight w:val="none"/>
        </w:rPr>
      </w:pPr>
      <w:r>
        <w:rPr>
          <w:rFonts w:hint="eastAsia" w:ascii="楷体" w:hAnsi="楷体" w:eastAsia="楷体" w:cs="楷体"/>
          <w:color w:val="auto"/>
          <w:sz w:val="32"/>
          <w:szCs w:val="40"/>
          <w:highlight w:val="none"/>
        </w:rPr>
        <w:t>【污染类型】</w:t>
      </w:r>
    </w:p>
    <w:p>
      <w:pPr>
        <w:ind w:firstLine="320" w:firstLineChars="100"/>
        <w:rPr>
          <w:rFonts w:hint="eastAsia" w:ascii="楷体" w:hAnsi="楷体" w:eastAsia="楷体" w:cs="楷体"/>
          <w:color w:val="auto"/>
          <w:sz w:val="32"/>
          <w:szCs w:val="40"/>
          <w:highlight w:val="none"/>
        </w:rPr>
      </w:pPr>
      <w:r>
        <w:rPr>
          <w:rFonts w:hint="eastAsia" w:ascii="楷体" w:hAnsi="楷体" w:eastAsia="楷体" w:cs="楷体"/>
          <w:color w:val="auto"/>
          <w:sz w:val="32"/>
          <w:szCs w:val="40"/>
          <w:highlight w:val="none"/>
        </w:rPr>
        <w:t>【事件起因及过程】</w:t>
      </w:r>
    </w:p>
    <w:p>
      <w:pPr>
        <w:ind w:firstLine="320" w:firstLineChars="100"/>
        <w:rPr>
          <w:rFonts w:hint="eastAsia" w:ascii="楷体" w:hAnsi="楷体" w:eastAsia="楷体" w:cs="楷体"/>
          <w:color w:val="auto"/>
          <w:sz w:val="32"/>
          <w:szCs w:val="40"/>
          <w:highlight w:val="none"/>
        </w:rPr>
      </w:pPr>
      <w:r>
        <w:rPr>
          <w:rFonts w:hint="eastAsia" w:ascii="楷体" w:hAnsi="楷体" w:eastAsia="楷体" w:cs="楷体"/>
          <w:color w:val="auto"/>
          <w:sz w:val="32"/>
          <w:szCs w:val="40"/>
          <w:highlight w:val="none"/>
        </w:rPr>
        <w:t>【主要污染物及数量】</w:t>
      </w:r>
    </w:p>
    <w:p>
      <w:pPr>
        <w:ind w:firstLine="300" w:firstLineChars="100"/>
        <w:rPr>
          <w:rFonts w:hint="eastAsia" w:ascii="楷体" w:hAnsi="楷体" w:eastAsia="楷体" w:cs="楷体"/>
          <w:color w:val="auto"/>
          <w:sz w:val="30"/>
          <w:szCs w:val="30"/>
          <w:highlight w:val="none"/>
        </w:rPr>
      </w:pPr>
    </w:p>
    <w:p>
      <w:pPr>
        <w:ind w:firstLine="320" w:firstLineChars="100"/>
        <w:rPr>
          <w:rFonts w:hint="eastAsia" w:ascii="仿宋_GB2312" w:hAnsi="仿宋_GB2312" w:eastAsia="仿宋_GB2312" w:cs="仿宋_GB2312"/>
          <w:color w:val="auto"/>
          <w:sz w:val="32"/>
          <w:szCs w:val="40"/>
          <w:highlight w:val="none"/>
        </w:rPr>
      </w:pPr>
      <w:r>
        <w:rPr>
          <w:rFonts w:hint="eastAsia" w:ascii="楷体" w:hAnsi="楷体" w:eastAsia="楷体" w:cs="楷体"/>
          <w:color w:val="auto"/>
          <w:sz w:val="32"/>
          <w:szCs w:val="40"/>
          <w:highlight w:val="none"/>
        </w:rPr>
        <w:t>【现场处置情况】</w:t>
      </w:r>
      <w:r>
        <w:rPr>
          <w:rFonts w:hint="eastAsia" w:ascii="仿宋_GB2312" w:hAnsi="仿宋_GB2312" w:eastAsia="仿宋_GB2312" w:cs="仿宋_GB2312"/>
          <w:color w:val="auto"/>
          <w:sz w:val="32"/>
          <w:szCs w:val="40"/>
          <w:highlight w:val="none"/>
        </w:rPr>
        <w:t>（包括启动应急响应情况、各部门参与情况、采取的应急处置措施、污染物控制情况等）</w:t>
      </w:r>
    </w:p>
    <w:p>
      <w:pPr>
        <w:rPr>
          <w:rFonts w:hint="eastAsia" w:ascii="楷体" w:hAnsi="楷体" w:eastAsia="楷体" w:cs="楷体"/>
          <w:color w:val="auto"/>
          <w:sz w:val="32"/>
          <w:szCs w:val="40"/>
          <w:highlight w:val="none"/>
        </w:rPr>
      </w:pPr>
    </w:p>
    <w:p>
      <w:pPr>
        <w:ind w:firstLine="320" w:firstLineChars="100"/>
        <w:rPr>
          <w:rFonts w:hint="eastAsia" w:ascii="楷体" w:hAnsi="楷体" w:eastAsia="楷体" w:cs="楷体"/>
          <w:color w:val="auto"/>
          <w:sz w:val="32"/>
          <w:szCs w:val="40"/>
          <w:highlight w:val="none"/>
        </w:rPr>
      </w:pPr>
      <w:r>
        <w:rPr>
          <w:rFonts w:hint="eastAsia" w:ascii="楷体" w:hAnsi="楷体" w:eastAsia="楷体" w:cs="楷体"/>
          <w:color w:val="auto"/>
          <w:sz w:val="32"/>
          <w:szCs w:val="40"/>
          <w:highlight w:val="none"/>
        </w:rPr>
        <w:t>【事件的影响范围及发展趋势】</w:t>
      </w:r>
    </w:p>
    <w:p>
      <w:pPr>
        <w:ind w:firstLine="320" w:firstLineChars="100"/>
        <w:rPr>
          <w:rFonts w:hint="eastAsia" w:eastAsia="宋体"/>
          <w:color w:val="auto"/>
          <w:sz w:val="32"/>
          <w:szCs w:val="40"/>
          <w:highlight w:val="none"/>
        </w:rPr>
      </w:pPr>
    </w:p>
    <w:p>
      <w:pPr>
        <w:jc w:val="right"/>
        <w:rPr>
          <w:rFonts w:hint="eastAsia"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32"/>
          <w:szCs w:val="40"/>
          <w:highlight w:val="none"/>
        </w:rPr>
        <w:t>报告单位（盖章）</w:t>
      </w:r>
    </w:p>
    <w:p>
      <w:pPr>
        <w:jc w:val="right"/>
        <w:rPr>
          <w:rFonts w:hint="eastAsia"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32"/>
          <w:szCs w:val="40"/>
          <w:highlight w:val="none"/>
        </w:rPr>
        <w:t>XX年XX月XX日（报告时间）</w:t>
      </w:r>
    </w:p>
    <w:p>
      <w:pPr>
        <w:spacing w:line="560" w:lineRule="exact"/>
        <w:outlineLvl w:val="1"/>
        <w:rPr>
          <w:rFonts w:hint="eastAsia" w:ascii="仿宋_GB2312" w:hAnsi="仿宋_GB2312" w:eastAsia="仿宋_GB2312" w:cs="仿宋_GB2312"/>
          <w:b/>
          <w:color w:val="auto"/>
          <w:sz w:val="32"/>
          <w:szCs w:val="32"/>
          <w:highlight w:val="none"/>
        </w:rPr>
        <w:sectPr>
          <w:pgSz w:w="11906" w:h="16838"/>
          <w:pgMar w:top="720" w:right="1726" w:bottom="720" w:left="1140" w:header="851" w:footer="992" w:gutter="0"/>
          <w:pgNumType w:fmt="decimal"/>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120"/>
        <w:textAlignment w:val="auto"/>
        <w:outlineLvl w:val="2"/>
        <w:rPr>
          <w:rFonts w:hint="eastAsia" w:eastAsia="楷体_GB2312"/>
          <w:b/>
          <w:bCs/>
          <w:color w:val="auto"/>
          <w:sz w:val="30"/>
          <w:szCs w:val="30"/>
          <w:highlight w:val="none"/>
        </w:rPr>
      </w:pPr>
      <w:bookmarkStart w:id="131" w:name="_Toc28879"/>
      <w:bookmarkStart w:id="132" w:name="_Toc9175"/>
      <w:r>
        <w:rPr>
          <w:rFonts w:hint="eastAsia" w:eastAsia="楷体_GB2312"/>
          <w:b/>
          <w:bCs/>
          <w:color w:val="auto"/>
          <w:sz w:val="30"/>
          <w:szCs w:val="30"/>
          <w:highlight w:val="none"/>
        </w:rPr>
        <w:t>附4.3  处理结果报</w:t>
      </w:r>
      <w:bookmarkEnd w:id="131"/>
      <w:r>
        <w:rPr>
          <w:rFonts w:hint="eastAsia" w:eastAsia="楷体_GB2312"/>
          <w:b/>
          <w:bCs/>
          <w:color w:val="auto"/>
          <w:sz w:val="30"/>
          <w:szCs w:val="30"/>
          <w:highlight w:val="none"/>
        </w:rPr>
        <w:t>告</w:t>
      </w:r>
      <w:bookmarkEnd w:id="132"/>
    </w:p>
    <w:p>
      <w:pPr>
        <w:spacing w:line="720" w:lineRule="auto"/>
        <w:jc w:val="center"/>
        <w:rPr>
          <w:rFonts w:eastAsia="宋体"/>
          <w:b/>
          <w:bCs/>
          <w:color w:val="auto"/>
          <w:sz w:val="84"/>
          <w:szCs w:val="84"/>
          <w:highlight w:val="none"/>
        </w:rPr>
      </w:pPr>
      <w:r>
        <w:rPr>
          <w:rFonts w:hint="eastAsia" w:eastAsia="宋体"/>
          <w:b/>
          <w:bCs/>
          <w:color w:val="auto"/>
          <w:sz w:val="84"/>
          <w:szCs w:val="84"/>
          <w:highlight w:val="none"/>
        </w:rPr>
        <w:t>突发环境事件报告文件</w:t>
      </w:r>
    </w:p>
    <w:p>
      <w:pPr>
        <w:spacing w:line="720" w:lineRule="auto"/>
        <w:ind w:firstLine="520" w:firstLineChars="100"/>
        <w:jc w:val="center"/>
        <w:rPr>
          <w:rFonts w:hint="eastAsia" w:eastAsia="宋体"/>
          <w:b/>
          <w:bCs/>
          <w:color w:val="auto"/>
          <w:sz w:val="52"/>
          <w:szCs w:val="52"/>
          <w:highlight w:val="none"/>
        </w:rPr>
      </w:pPr>
      <w:r>
        <w:rPr>
          <w:rFonts w:hint="eastAsia" w:eastAsia="宋体"/>
          <w:b/>
          <w:bCs/>
          <w:color w:val="auto"/>
          <w:sz w:val="52"/>
          <w:szCs w:val="52"/>
          <w:highlight w:val="none"/>
        </w:rPr>
        <w:t>（处理结果报告）</w:t>
      </w:r>
    </w:p>
    <w:p>
      <w:pPr>
        <w:ind w:firstLine="320" w:firstLineChars="100"/>
        <w:jc w:val="center"/>
        <w:rPr>
          <w:rFonts w:hint="eastAsia" w:eastAsia="宋体"/>
          <w:b/>
          <w:bCs/>
          <w:color w:val="auto"/>
          <w:sz w:val="72"/>
          <w:szCs w:val="144"/>
          <w:highlight w:val="none"/>
        </w:rPr>
      </w:pPr>
      <w:r>
        <w:rPr>
          <w:rFonts w:eastAsia="宋体"/>
          <w:color w:val="auto"/>
          <w:sz w:val="32"/>
          <w:highlight w:val="none"/>
        </w:rPr>
        <mc:AlternateContent>
          <mc:Choice Requires="wps">
            <w:drawing>
              <wp:anchor distT="0" distB="0" distL="114300" distR="114300" simplePos="0" relativeHeight="251667456" behindDoc="0" locked="0" layoutInCell="1" allowOverlap="1">
                <wp:simplePos x="0" y="0"/>
                <wp:positionH relativeFrom="column">
                  <wp:posOffset>179070</wp:posOffset>
                </wp:positionH>
                <wp:positionV relativeFrom="paragraph">
                  <wp:posOffset>162560</wp:posOffset>
                </wp:positionV>
                <wp:extent cx="5672455" cy="10160"/>
                <wp:effectExtent l="0" t="3175" r="4445" b="24765"/>
                <wp:wrapNone/>
                <wp:docPr id="101" name="直接连接符 101"/>
                <wp:cNvGraphicFramePr/>
                <a:graphic xmlns:a="http://schemas.openxmlformats.org/drawingml/2006/main">
                  <a:graphicData uri="http://schemas.microsoft.com/office/word/2010/wordprocessingShape">
                    <wps:wsp>
                      <wps:cNvCnPr/>
                      <wps:spPr>
                        <a:xfrm flipV="1">
                          <a:off x="0" y="0"/>
                          <a:ext cx="5672455" cy="1016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1pt;margin-top:12.8pt;height:0.8pt;width:446.65pt;z-index:251667456;mso-width-relative:page;mso-height-relative:page;" filled="f" stroked="t" coordsize="21600,21600" o:gfxdata="UEsDBAoAAAAAAIdO4kAAAAAAAAAAAAAAAAAEAAAAZHJzL1BLAwQUAAAACACHTuJAsk2IctgAAAAI&#10;AQAADwAAAGRycy9kb3ducmV2LnhtbE2PMU/DMBCFdyT+g3VIbNSJUUsb4nQAITGw0ILE6MZHHBqf&#10;Q+y0Kb+eYyrT6e49vfteuZ58Jw44xDaQhnyWgUCqg22p0fC2fbpZgojJkDVdINRwwgjr6vKiNIUN&#10;R3rFwyY1gkMoFkaDS6kvpIy1Q2/iLPRIrH2GwZvE69BIO5gjh/tOqixbSG9a4g/O9PjgsN5vRq/h&#10;/cPht1o9vrj99uf2Kz2P8jSNWl9f5dk9iIRTOpvhD5/RoWKmXRjJRtFpUEvFTp7zBQjWVyqfg9jx&#10;4U6BrEr5v0D1C1BLAwQUAAAACACHTuJA8igkGgQCAAD3AwAADgAAAGRycy9lMm9Eb2MueG1srVO7&#10;rhMxEO2R+AfLPdlNIOFqlc0tbggNgkg8+okfu5b8ku1kk5/gB5DooKKk52+4fAZjb7jApUmBC2vs&#10;GZ+Zc2a8vD4aTQ4iROVsS6eTmhJhmePKdi19+2bz6IqSmMBy0M6Klp5EpNerhw+Wg2/EzPVOcxEI&#10;gtjYDL6lfUq+qarIemEgTpwXFp3SBQMJj6GreIAB0Y2uZnW9qAYXuA+OiRjxdj066RkxXALopFRM&#10;rB3bG2HTiBqEhoSUYq98pKtSrZSCpVdSRpGIbikyTWXHJGjv8l6tltB0AXyv2LkEuKSEe5wMKItJ&#10;76DWkIDsg/oHyigWXHQyTZgz1UikKIIspvU9bV734EXhglJHfyd6/H+w7OVhG4jiOAn1lBILBlt+&#10;++Hr9/effnz7iPvtl88ku1CowccG42/sNpxP0W9DZn2UwRCplX+HOEUHZEaORebTnczimAjDy/ni&#10;6ezJfE4JQx9iL0obqhEmw/kQ03PhDMlGS7WyWQVo4PAiJkyNob9C8rW2ZGjp46tpjV1lgDMpcRbQ&#10;NB55RduVx9FpxTdK6/wkhm53owM5AM7FZlPjygwR+K+wnGUNsR/jimucmF4Af2Y5SSePeln8KDTX&#10;YASnRAv8V9lCQGgSKH1JJKbWFivIIo+yZmvn+An7s/dBdT1KUfpQYnAeSr3n2c0D9+e5IP3+r6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k2IctgAAAAIAQAADwAAAAAAAAABACAAAAAiAAAAZHJz&#10;L2Rvd25yZXYueG1sUEsBAhQAFAAAAAgAh07iQPIoJBoEAgAA9wMAAA4AAAAAAAAAAQAgAAAAJwEA&#10;AGRycy9lMm9Eb2MueG1sUEsFBgAAAAAGAAYAWQEAAJ0FAAAAAA==&#10;">
                <v:fill on="f" focussize="0,0"/>
                <v:stroke weight="3pt" color="#FF0000" joinstyle="round"/>
                <v:imagedata o:title=""/>
                <o:lock v:ext="edit" aspectratio="f"/>
              </v:line>
            </w:pict>
          </mc:Fallback>
        </mc:AlternateContent>
      </w:r>
    </w:p>
    <w:p>
      <w:pPr>
        <w:ind w:firstLine="440" w:firstLineChars="100"/>
        <w:jc w:val="center"/>
        <w:rPr>
          <w:rFonts w:hint="eastAsia" w:ascii="方正小标宋简体" w:hAnsi="方正小标宋简体" w:eastAsia="方正小标宋简体" w:cs="方正小标宋简体"/>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rPr>
        <w:t>关于XXX突发环境事件情况报告</w:t>
      </w:r>
    </w:p>
    <w:p>
      <w:pPr>
        <w:ind w:firstLine="320" w:firstLineChars="100"/>
        <w:rPr>
          <w:rFonts w:hint="eastAsia"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32"/>
          <w:szCs w:val="40"/>
          <w:highlight w:val="none"/>
        </w:rPr>
        <w:t>XXX（报送单位）：</w:t>
      </w:r>
    </w:p>
    <w:p>
      <w:pPr>
        <w:ind w:firstLine="320" w:firstLineChars="100"/>
        <w:rPr>
          <w:rFonts w:hint="eastAsia"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32"/>
          <w:szCs w:val="40"/>
          <w:highlight w:val="none"/>
        </w:rPr>
        <w:t xml:space="preserve">    XX年XX月XX日XX时XX分，XX地发生突发环境事件，经过XX小时的应急处置救援，事件基本得到控制，现将具体情况汇报如下：</w:t>
      </w:r>
    </w:p>
    <w:p>
      <w:pPr>
        <w:ind w:firstLine="320" w:firstLineChars="100"/>
        <w:rPr>
          <w:rFonts w:hint="eastAsia" w:ascii="楷体" w:hAnsi="楷体" w:eastAsia="楷体" w:cs="楷体"/>
          <w:color w:val="auto"/>
          <w:sz w:val="32"/>
          <w:szCs w:val="40"/>
          <w:highlight w:val="none"/>
        </w:rPr>
      </w:pPr>
      <w:r>
        <w:rPr>
          <w:rFonts w:hint="eastAsia" w:ascii="楷体" w:hAnsi="楷体" w:eastAsia="楷体" w:cs="楷体"/>
          <w:color w:val="auto"/>
          <w:sz w:val="32"/>
          <w:szCs w:val="40"/>
          <w:highlight w:val="none"/>
        </w:rPr>
        <w:t>【事件级别】</w:t>
      </w:r>
    </w:p>
    <w:p>
      <w:pPr>
        <w:ind w:firstLine="320" w:firstLineChars="100"/>
        <w:rPr>
          <w:rFonts w:hint="eastAsia" w:ascii="楷体" w:hAnsi="楷体" w:eastAsia="楷体" w:cs="楷体"/>
          <w:color w:val="auto"/>
          <w:sz w:val="32"/>
          <w:szCs w:val="40"/>
          <w:highlight w:val="none"/>
        </w:rPr>
      </w:pPr>
      <w:r>
        <w:rPr>
          <w:rFonts w:hint="eastAsia" w:ascii="楷体" w:hAnsi="楷体" w:eastAsia="楷体" w:cs="楷体"/>
          <w:color w:val="auto"/>
          <w:sz w:val="32"/>
          <w:szCs w:val="40"/>
          <w:highlight w:val="none"/>
        </w:rPr>
        <w:t>【污染类型】</w:t>
      </w:r>
    </w:p>
    <w:p>
      <w:pPr>
        <w:ind w:firstLine="320" w:firstLineChars="100"/>
        <w:rPr>
          <w:rFonts w:hint="eastAsia" w:ascii="楷体" w:hAnsi="楷体" w:eastAsia="楷体" w:cs="楷体"/>
          <w:color w:val="auto"/>
          <w:sz w:val="32"/>
          <w:szCs w:val="40"/>
          <w:highlight w:val="none"/>
        </w:rPr>
      </w:pPr>
      <w:r>
        <w:rPr>
          <w:rFonts w:hint="eastAsia" w:ascii="楷体" w:hAnsi="楷体" w:eastAsia="楷体" w:cs="楷体"/>
          <w:color w:val="auto"/>
          <w:sz w:val="32"/>
          <w:szCs w:val="40"/>
          <w:highlight w:val="none"/>
        </w:rPr>
        <w:t>【事件起因】</w:t>
      </w:r>
    </w:p>
    <w:p>
      <w:pPr>
        <w:ind w:firstLine="320" w:firstLineChars="100"/>
        <w:rPr>
          <w:rFonts w:hint="eastAsia" w:ascii="楷体" w:hAnsi="楷体" w:eastAsia="楷体" w:cs="楷体"/>
          <w:color w:val="auto"/>
          <w:sz w:val="32"/>
          <w:szCs w:val="40"/>
          <w:highlight w:val="none"/>
        </w:rPr>
      </w:pPr>
      <w:r>
        <w:rPr>
          <w:rFonts w:hint="eastAsia" w:ascii="楷体" w:hAnsi="楷体" w:eastAsia="楷体" w:cs="楷体"/>
          <w:color w:val="auto"/>
          <w:sz w:val="32"/>
          <w:szCs w:val="40"/>
          <w:highlight w:val="none"/>
        </w:rPr>
        <w:t>【应对过程】</w:t>
      </w:r>
    </w:p>
    <w:p>
      <w:pPr>
        <w:ind w:firstLine="320" w:firstLineChars="100"/>
        <w:rPr>
          <w:rFonts w:hint="eastAsia" w:ascii="楷体" w:hAnsi="楷体" w:eastAsia="楷体" w:cs="楷体"/>
          <w:color w:val="auto"/>
          <w:sz w:val="32"/>
          <w:szCs w:val="40"/>
          <w:highlight w:val="none"/>
        </w:rPr>
      </w:pPr>
      <w:r>
        <w:rPr>
          <w:rFonts w:hint="eastAsia" w:ascii="楷体" w:hAnsi="楷体" w:eastAsia="楷体" w:cs="楷体"/>
          <w:color w:val="auto"/>
          <w:sz w:val="32"/>
          <w:szCs w:val="40"/>
          <w:highlight w:val="none"/>
        </w:rPr>
        <w:t>【处置结果】</w:t>
      </w:r>
    </w:p>
    <w:p>
      <w:pPr>
        <w:ind w:firstLine="320" w:firstLineChars="100"/>
        <w:rPr>
          <w:rFonts w:hint="eastAsia" w:ascii="仿宋_GB2312" w:hAnsi="仿宋_GB2312" w:eastAsia="仿宋_GB2312" w:cs="仿宋_GB2312"/>
          <w:color w:val="auto"/>
          <w:sz w:val="32"/>
          <w:szCs w:val="40"/>
          <w:highlight w:val="none"/>
        </w:rPr>
      </w:pPr>
      <w:r>
        <w:rPr>
          <w:rFonts w:hint="eastAsia" w:ascii="楷体" w:hAnsi="楷体" w:eastAsia="楷体" w:cs="楷体"/>
          <w:color w:val="auto"/>
          <w:sz w:val="32"/>
          <w:szCs w:val="40"/>
          <w:highlight w:val="none"/>
        </w:rPr>
        <w:t>【事件潜在危害】</w:t>
      </w:r>
      <w:r>
        <w:rPr>
          <w:rFonts w:hint="eastAsia" w:ascii="仿宋_GB2312" w:hAnsi="仿宋_GB2312" w:eastAsia="仿宋_GB2312" w:cs="仿宋_GB2312"/>
          <w:color w:val="auto"/>
          <w:sz w:val="32"/>
          <w:szCs w:val="40"/>
          <w:highlight w:val="none"/>
        </w:rPr>
        <w:t>（包括间接危害、社会影响、处置后的遗留问题等）</w:t>
      </w:r>
    </w:p>
    <w:p>
      <w:pPr>
        <w:ind w:firstLine="300" w:firstLineChars="100"/>
        <w:rPr>
          <w:rFonts w:hint="eastAsia" w:ascii="仿宋_GB2312" w:hAnsi="仿宋_GB2312" w:eastAsia="仿宋_GB2312" w:cs="仿宋_GB2312"/>
          <w:color w:val="auto"/>
          <w:sz w:val="32"/>
          <w:szCs w:val="40"/>
          <w:highlight w:val="none"/>
        </w:rPr>
      </w:pPr>
      <w:r>
        <w:rPr>
          <w:rFonts w:hint="eastAsia" w:ascii="楷体" w:hAnsi="楷体" w:eastAsia="楷体" w:cs="楷体"/>
          <w:color w:val="auto"/>
          <w:sz w:val="30"/>
          <w:szCs w:val="30"/>
          <w:highlight w:val="none"/>
        </w:rPr>
        <w:t>【</w:t>
      </w:r>
      <w:r>
        <w:rPr>
          <w:rFonts w:hint="eastAsia" w:ascii="楷体" w:hAnsi="楷体" w:eastAsia="楷体" w:cs="楷体"/>
          <w:color w:val="auto"/>
          <w:sz w:val="32"/>
          <w:szCs w:val="40"/>
          <w:highlight w:val="none"/>
        </w:rPr>
        <w:t>参与部门</w:t>
      </w:r>
      <w:r>
        <w:rPr>
          <w:rFonts w:hint="eastAsia" w:ascii="楷体" w:hAnsi="楷体" w:eastAsia="楷体" w:cs="楷体"/>
          <w:color w:val="auto"/>
          <w:sz w:val="30"/>
          <w:szCs w:val="30"/>
          <w:highlight w:val="none"/>
        </w:rPr>
        <w:t>】</w:t>
      </w:r>
      <w:r>
        <w:rPr>
          <w:rFonts w:hint="eastAsia" w:ascii="仿宋_GB2312" w:hAnsi="仿宋_GB2312" w:eastAsia="仿宋_GB2312" w:cs="仿宋_GB2312"/>
          <w:color w:val="auto"/>
          <w:sz w:val="32"/>
          <w:szCs w:val="40"/>
          <w:highlight w:val="none"/>
        </w:rPr>
        <w:t>（附名单及工作内容）</w:t>
      </w:r>
    </w:p>
    <w:p>
      <w:pPr>
        <w:ind w:firstLine="320" w:firstLineChars="100"/>
        <w:rPr>
          <w:rFonts w:hint="eastAsia" w:ascii="仿宋_GB2312" w:hAnsi="仿宋_GB2312" w:eastAsia="仿宋_GB2312" w:cs="仿宋_GB2312"/>
          <w:color w:val="auto"/>
          <w:sz w:val="32"/>
          <w:szCs w:val="40"/>
          <w:highlight w:val="none"/>
        </w:rPr>
      </w:pPr>
      <w:r>
        <w:rPr>
          <w:rFonts w:hint="eastAsia" w:ascii="楷体" w:hAnsi="楷体" w:eastAsia="楷体" w:cs="楷体"/>
          <w:color w:val="auto"/>
          <w:sz w:val="32"/>
          <w:szCs w:val="40"/>
          <w:highlight w:val="none"/>
        </w:rPr>
        <w:t>【事件损失】</w:t>
      </w:r>
      <w:r>
        <w:rPr>
          <w:rFonts w:hint="eastAsia" w:ascii="仿宋_GB2312" w:hAnsi="仿宋_GB2312" w:eastAsia="仿宋_GB2312" w:cs="仿宋_GB2312"/>
          <w:color w:val="auto"/>
          <w:sz w:val="32"/>
          <w:szCs w:val="40"/>
          <w:highlight w:val="none"/>
        </w:rPr>
        <w:t>（附证明文件）</w:t>
      </w:r>
    </w:p>
    <w:p>
      <w:pPr>
        <w:jc w:val="right"/>
        <w:rPr>
          <w:rFonts w:hint="eastAsia"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32"/>
          <w:szCs w:val="40"/>
          <w:highlight w:val="none"/>
        </w:rPr>
        <w:t>报告单位（盖章）</w:t>
      </w:r>
    </w:p>
    <w:p>
      <w:pPr>
        <w:jc w:val="right"/>
        <w:rPr>
          <w:rFonts w:hint="eastAsia" w:ascii="仿宋_GB2312" w:hAnsi="仿宋_GB2312" w:eastAsia="仿宋_GB2312" w:cs="仿宋_GB2312"/>
          <w:b/>
          <w:color w:val="auto"/>
          <w:sz w:val="32"/>
          <w:szCs w:val="32"/>
          <w:highlight w:val="none"/>
        </w:rPr>
        <w:sectPr>
          <w:pgSz w:w="11906" w:h="16838"/>
          <w:pgMar w:top="720" w:right="1726" w:bottom="720" w:left="1140" w:header="851" w:footer="992" w:gutter="0"/>
          <w:pgNumType w:fmt="decimal"/>
          <w:cols w:space="720" w:num="1"/>
          <w:docGrid w:type="linesAndChars" w:linePitch="312" w:charSpace="0"/>
        </w:sectPr>
      </w:pPr>
      <w:r>
        <w:rPr>
          <w:rFonts w:hint="eastAsia" w:ascii="仿宋_GB2312" w:hAnsi="仿宋_GB2312" w:eastAsia="仿宋_GB2312" w:cs="仿宋_GB2312"/>
          <w:color w:val="auto"/>
          <w:sz w:val="32"/>
          <w:szCs w:val="40"/>
          <w:highlight w:val="none"/>
        </w:rPr>
        <w:t>XX年XX月XX日（报告时间）</w:t>
      </w:r>
    </w:p>
    <w:p>
      <w:pPr>
        <w:spacing w:line="560" w:lineRule="exact"/>
        <w:outlineLvl w:val="1"/>
        <w:rPr>
          <w:rFonts w:eastAsia="楷体_GB2312"/>
          <w:b/>
          <w:color w:val="auto"/>
          <w:sz w:val="32"/>
          <w:szCs w:val="32"/>
          <w:highlight w:val="none"/>
        </w:rPr>
      </w:pPr>
      <w:bookmarkStart w:id="133" w:name="_Toc15688"/>
      <w:bookmarkStart w:id="134" w:name="_Toc24165"/>
      <w:r>
        <w:rPr>
          <w:rFonts w:hint="eastAsia" w:eastAsia="楷体_GB2312"/>
          <w:b/>
          <w:color w:val="auto"/>
          <w:sz w:val="32"/>
          <w:szCs w:val="32"/>
          <w:highlight w:val="none"/>
        </w:rPr>
        <w:t>附件5 突发事件应对处置流程图</w:t>
      </w:r>
      <w:bookmarkEnd w:id="133"/>
      <w:bookmarkEnd w:id="134"/>
    </w:p>
    <w:p>
      <w:pPr>
        <w:spacing w:line="360" w:lineRule="auto"/>
        <w:jc w:val="center"/>
        <w:rPr>
          <w:rFonts w:ascii="楷体_GB2312" w:eastAsia="楷体_GB2312"/>
          <w:color w:val="auto"/>
          <w:sz w:val="30"/>
          <w:szCs w:val="30"/>
          <w:highlight w:val="none"/>
        </w:rPr>
      </w:pPr>
      <w:r>
        <w:rPr>
          <w:sz w:val="30"/>
        </w:rPr>
        <mc:AlternateContent>
          <mc:Choice Requires="wpg">
            <w:drawing>
              <wp:anchor distT="0" distB="0" distL="114300" distR="114300" simplePos="0" relativeHeight="251669504" behindDoc="0" locked="0" layoutInCell="1" allowOverlap="1">
                <wp:simplePos x="0" y="0"/>
                <wp:positionH relativeFrom="column">
                  <wp:posOffset>-20955</wp:posOffset>
                </wp:positionH>
                <wp:positionV relativeFrom="paragraph">
                  <wp:posOffset>204470</wp:posOffset>
                </wp:positionV>
                <wp:extent cx="5657850" cy="7835265"/>
                <wp:effectExtent l="4445" t="4445" r="14605" b="8890"/>
                <wp:wrapNone/>
                <wp:docPr id="168" name="组合 168"/>
                <wp:cNvGraphicFramePr/>
                <a:graphic xmlns:a="http://schemas.openxmlformats.org/drawingml/2006/main">
                  <a:graphicData uri="http://schemas.microsoft.com/office/word/2010/wordprocessingGroup">
                    <wpg:wgp>
                      <wpg:cNvGrpSpPr/>
                      <wpg:grpSpPr>
                        <a:xfrm>
                          <a:off x="0" y="0"/>
                          <a:ext cx="5657850" cy="7835265"/>
                          <a:chOff x="8393" y="655166"/>
                          <a:chExt cx="8910" cy="12339"/>
                        </a:xfrm>
                      </wpg:grpSpPr>
                      <wps:wsp>
                        <wps:cNvPr id="130" name="矩形 130"/>
                        <wps:cNvSpPr/>
                        <wps:spPr>
                          <a:xfrm>
                            <a:off x="10451" y="655166"/>
                            <a:ext cx="4198" cy="582"/>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县（市</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开发区</w:t>
                              </w:r>
                              <w:r>
                                <w:rPr>
                                  <w:rFonts w:hint="eastAsia" w:ascii="仿宋_GB2312" w:hAnsi="仿宋_GB2312" w:eastAsia="仿宋_GB2312" w:cs="仿宋_GB2312"/>
                                  <w:b w:val="0"/>
                                  <w:bCs/>
                                  <w:color w:val="auto"/>
                                  <w:sz w:val="24"/>
                                  <w:szCs w:val="24"/>
                                  <w:highlight w:val="none"/>
                                </w:rPr>
                                <w:t>）人民政府</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管委会</w:t>
                              </w:r>
                              <w:r>
                                <w:rPr>
                                  <w:rFonts w:hint="eastAsia" w:ascii="仿宋_GB2312" w:hAnsi="仿宋_GB2312" w:eastAsia="仿宋_GB2312" w:cs="仿宋_GB2312"/>
                                  <w:b w:val="0"/>
                                  <w:bCs/>
                                  <w:color w:val="auto"/>
                                  <w:sz w:val="24"/>
                                  <w:szCs w:val="24"/>
                                  <w:highlight w:val="none"/>
                                  <w:lang w:eastAsia="zh-CN"/>
                                </w:rPr>
                                <w:t>）</w:t>
                              </w:r>
                            </w:p>
                          </w:txbxContent>
                        </wps:txbx>
                        <wps:bodyPr upright="1"/>
                      </wps:wsp>
                      <wps:wsp>
                        <wps:cNvPr id="127" name="直接箭头连接符 127"/>
                        <wps:cNvCnPr/>
                        <wps:spPr>
                          <a:xfrm>
                            <a:off x="12565" y="655747"/>
                            <a:ext cx="1" cy="510"/>
                          </a:xfrm>
                          <a:prstGeom prst="straightConnector1">
                            <a:avLst/>
                          </a:prstGeom>
                          <a:ln w="9525" cap="flat" cmpd="sng">
                            <a:solidFill>
                              <a:srgbClr val="000000"/>
                            </a:solidFill>
                            <a:prstDash val="solid"/>
                            <a:headEnd type="none" w="med" len="med"/>
                            <a:tailEnd type="triangle" w="med" len="med"/>
                          </a:ln>
                        </wps:spPr>
                        <wps:bodyPr/>
                      </wps:wsp>
                      <wps:wsp>
                        <wps:cNvPr id="125" name="矩形 125"/>
                        <wps:cNvSpPr/>
                        <wps:spPr>
                          <a:xfrm>
                            <a:off x="12616" y="655771"/>
                            <a:ext cx="960" cy="450"/>
                          </a:xfrm>
                          <a:prstGeom prst="rect">
                            <a:avLst/>
                          </a:prstGeom>
                          <a:noFill/>
                          <a:ln>
                            <a:noFill/>
                          </a:ln>
                        </wps:spPr>
                        <wps:txbx>
                          <w:txbxContent>
                            <w:p>
                              <w:pPr>
                                <w:jc w:val="center"/>
                                <w:rPr>
                                  <w:rFonts w:eastAsia="宋体"/>
                                </w:rPr>
                              </w:pPr>
                              <w:r>
                                <w:rPr>
                                  <w:rFonts w:hint="eastAsia" w:ascii="仿宋_GB2312" w:hAnsi="仿宋_GB2312" w:eastAsia="仿宋_GB2312" w:cs="仿宋_GB2312"/>
                                  <w:b w:val="0"/>
                                  <w:bCs/>
                                  <w:color w:val="auto"/>
                                  <w:sz w:val="24"/>
                                  <w:szCs w:val="24"/>
                                  <w:highlight w:val="none"/>
                                </w:rPr>
                                <w:t>报 告</w:t>
                              </w:r>
                            </w:p>
                          </w:txbxContent>
                        </wps:txbx>
                        <wps:bodyPr upright="1"/>
                      </wps:wsp>
                      <wps:wsp>
                        <wps:cNvPr id="134" name="矩形 134"/>
                        <wps:cNvSpPr/>
                        <wps:spPr>
                          <a:xfrm>
                            <a:off x="11048" y="656280"/>
                            <a:ext cx="2971" cy="723"/>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州生态环境安全应急指挥部办公室</w:t>
                              </w:r>
                            </w:p>
                            <w:p>
                              <w:pPr>
                                <w:jc w:val="center"/>
                                <w:rPr>
                                  <w:rFonts w:eastAsia="宋体"/>
                                </w:rPr>
                              </w:pPr>
                            </w:p>
                          </w:txbxContent>
                        </wps:txbx>
                        <wps:bodyPr upright="1"/>
                      </wps:wsp>
                      <wps:wsp>
                        <wps:cNvPr id="129" name="矩形 129"/>
                        <wps:cNvSpPr/>
                        <wps:spPr>
                          <a:xfrm>
                            <a:off x="15258" y="657292"/>
                            <a:ext cx="2045" cy="793"/>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省生态环境安全应急办</w:t>
                              </w:r>
                            </w:p>
                          </w:txbxContent>
                        </wps:txbx>
                        <wps:bodyPr upright="1"/>
                      </wps:wsp>
                      <wps:wsp>
                        <wps:cNvPr id="138" name="矩形 138"/>
                        <wps:cNvSpPr/>
                        <wps:spPr>
                          <a:xfrm>
                            <a:off x="13593" y="657245"/>
                            <a:ext cx="1626" cy="550"/>
                          </a:xfrm>
                          <a:prstGeom prst="rect">
                            <a:avLst/>
                          </a:prstGeom>
                          <a:noFill/>
                          <a:ln>
                            <a:noFill/>
                          </a:ln>
                        </wps:spPr>
                        <wps:txbx>
                          <w:txbxContent>
                            <w:p>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Ⅰ、Ⅱ、Ⅲ级</w:t>
                              </w:r>
                            </w:p>
                            <w:p>
                              <w:pPr>
                                <w:jc w:val="center"/>
                                <w:rPr>
                                  <w:rFonts w:eastAsia="宋体"/>
                                </w:rPr>
                              </w:pPr>
                            </w:p>
                          </w:txbxContent>
                        </wps:txbx>
                        <wps:bodyPr upright="1"/>
                      </wps:wsp>
                      <wps:wsp>
                        <wps:cNvPr id="126" name="直接箭头连接符 126"/>
                        <wps:cNvCnPr/>
                        <wps:spPr>
                          <a:xfrm>
                            <a:off x="12566" y="657003"/>
                            <a:ext cx="0" cy="489"/>
                          </a:xfrm>
                          <a:prstGeom prst="straightConnector1">
                            <a:avLst/>
                          </a:prstGeom>
                          <a:ln w="9525" cap="flat" cmpd="sng">
                            <a:solidFill>
                              <a:srgbClr val="000000"/>
                            </a:solidFill>
                            <a:prstDash val="solid"/>
                            <a:headEnd type="none" w="med" len="med"/>
                            <a:tailEnd type="triangle" w="med" len="med"/>
                          </a:ln>
                        </wps:spPr>
                        <wps:bodyPr/>
                      </wps:wsp>
                      <wps:wsp>
                        <wps:cNvPr id="131" name="矩形 131"/>
                        <wps:cNvSpPr/>
                        <wps:spPr>
                          <a:xfrm>
                            <a:off x="11380" y="657452"/>
                            <a:ext cx="2340" cy="4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确定预警级别</w:t>
                              </w:r>
                            </w:p>
                          </w:txbxContent>
                        </wps:txbx>
                        <wps:bodyPr upright="1"/>
                      </wps:wsp>
                      <wps:wsp>
                        <wps:cNvPr id="132" name="直接箭头连接符 132"/>
                        <wps:cNvCnPr>
                          <a:stCxn id="131" idx="3"/>
                          <a:endCxn id="129" idx="1"/>
                        </wps:cNvCnPr>
                        <wps:spPr>
                          <a:xfrm>
                            <a:off x="13720" y="657677"/>
                            <a:ext cx="1538" cy="12"/>
                          </a:xfrm>
                          <a:prstGeom prst="straightConnector1">
                            <a:avLst/>
                          </a:prstGeom>
                          <a:ln w="9525" cap="flat" cmpd="sng">
                            <a:solidFill>
                              <a:srgbClr val="000000"/>
                            </a:solidFill>
                            <a:prstDash val="solid"/>
                            <a:headEnd type="none" w="med" len="med"/>
                            <a:tailEnd type="triangle" w="med" len="med"/>
                          </a:ln>
                        </wps:spPr>
                        <wps:bodyPr/>
                      </wps:wsp>
                      <wps:wsp>
                        <wps:cNvPr id="133" name="直接箭头连接符 133"/>
                        <wps:cNvCnPr/>
                        <wps:spPr>
                          <a:xfrm>
                            <a:off x="12566" y="657934"/>
                            <a:ext cx="1" cy="510"/>
                          </a:xfrm>
                          <a:prstGeom prst="straightConnector1">
                            <a:avLst/>
                          </a:prstGeom>
                          <a:ln w="9525" cap="flat" cmpd="sng">
                            <a:solidFill>
                              <a:srgbClr val="000000"/>
                            </a:solidFill>
                            <a:prstDash val="solid"/>
                            <a:headEnd type="none" w="med" len="med"/>
                            <a:tailEnd type="triangle" w="med" len="med"/>
                          </a:ln>
                        </wps:spPr>
                        <wps:bodyPr/>
                      </wps:wsp>
                      <wps:wsp>
                        <wps:cNvPr id="143" name="矩形 143"/>
                        <wps:cNvSpPr/>
                        <wps:spPr>
                          <a:xfrm>
                            <a:off x="15154" y="664944"/>
                            <a:ext cx="1575" cy="4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监测预警组</w:t>
                              </w:r>
                            </w:p>
                          </w:txbxContent>
                        </wps:txbx>
                        <wps:bodyPr upright="1"/>
                      </wps:wsp>
                      <wps:wsp>
                        <wps:cNvPr id="137" name="矩形 137"/>
                        <wps:cNvSpPr/>
                        <wps:spPr>
                          <a:xfrm>
                            <a:off x="12443" y="665710"/>
                            <a:ext cx="2241" cy="484"/>
                          </a:xfrm>
                          <a:prstGeom prst="rect">
                            <a:avLst/>
                          </a:prstGeom>
                          <a:noFill/>
                          <a:ln>
                            <a:noFill/>
                          </a:ln>
                        </wps:spPr>
                        <wps:txbx>
                          <w:txbxContent>
                            <w:p>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满足相关标准要求</w:t>
                              </w:r>
                            </w:p>
                          </w:txbxContent>
                        </wps:txbx>
                        <wps:bodyPr upright="1"/>
                      </wps:wsp>
                      <wps:wsp>
                        <wps:cNvPr id="135" name="直接箭头连接符 135"/>
                        <wps:cNvCnPr>
                          <a:stCxn id="118" idx="2"/>
                          <a:endCxn id="129" idx="1"/>
                        </wps:cNvCnPr>
                        <wps:spPr>
                          <a:xfrm>
                            <a:off x="14595" y="660923"/>
                            <a:ext cx="585" cy="0"/>
                          </a:xfrm>
                          <a:prstGeom prst="straightConnector1">
                            <a:avLst/>
                          </a:prstGeom>
                          <a:ln w="9525" cap="flat" cmpd="sng">
                            <a:solidFill>
                              <a:srgbClr val="000000"/>
                            </a:solidFill>
                            <a:prstDash val="solid"/>
                            <a:headEnd type="none" w="med" len="med"/>
                            <a:tailEnd type="triangle" w="med" len="med"/>
                          </a:ln>
                        </wps:spPr>
                        <wps:bodyPr/>
                      </wps:wsp>
                      <wps:wsp>
                        <wps:cNvPr id="144" name="矩形 144"/>
                        <wps:cNvSpPr/>
                        <wps:spPr>
                          <a:xfrm>
                            <a:off x="15180" y="660694"/>
                            <a:ext cx="1575" cy="4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监测预警组</w:t>
                              </w:r>
                            </w:p>
                          </w:txbxContent>
                        </wps:txbx>
                        <wps:bodyPr upright="1"/>
                      </wps:wsp>
                      <wps:wsp>
                        <wps:cNvPr id="139" name="直接箭头连接符 139"/>
                        <wps:cNvCnPr/>
                        <wps:spPr>
                          <a:xfrm>
                            <a:off x="12567" y="661159"/>
                            <a:ext cx="0" cy="630"/>
                          </a:xfrm>
                          <a:prstGeom prst="straightConnector1">
                            <a:avLst/>
                          </a:prstGeom>
                          <a:ln w="9525" cap="flat" cmpd="sng">
                            <a:solidFill>
                              <a:srgbClr val="000000"/>
                            </a:solidFill>
                            <a:prstDash val="solid"/>
                            <a:headEnd type="none" w="med" len="med"/>
                            <a:tailEnd type="triangle" w="med" len="med"/>
                          </a:ln>
                        </wps:spPr>
                        <wps:bodyPr/>
                      </wps:wsp>
                      <wps:wsp>
                        <wps:cNvPr id="140" name="直接箭头连接符 140"/>
                        <wps:cNvCnPr/>
                        <wps:spPr>
                          <a:xfrm>
                            <a:off x="12566" y="660019"/>
                            <a:ext cx="0" cy="675"/>
                          </a:xfrm>
                          <a:prstGeom prst="straightConnector1">
                            <a:avLst/>
                          </a:prstGeom>
                          <a:ln w="9525" cap="flat" cmpd="sng">
                            <a:solidFill>
                              <a:srgbClr val="000000"/>
                            </a:solidFill>
                            <a:prstDash val="solid"/>
                            <a:headEnd type="none" w="med" len="med"/>
                            <a:tailEnd type="triangle" w="med" len="med"/>
                          </a:ln>
                        </wps:spPr>
                        <wps:bodyPr/>
                      </wps:wsp>
                      <wps:wsp>
                        <wps:cNvPr id="141" name="直接箭头连接符 141"/>
                        <wps:cNvCnPr>
                          <a:stCxn id="118" idx="2"/>
                          <a:endCxn id="129" idx="1"/>
                        </wps:cNvCnPr>
                        <wps:spPr>
                          <a:xfrm>
                            <a:off x="14573" y="659134"/>
                            <a:ext cx="1" cy="5445"/>
                          </a:xfrm>
                          <a:prstGeom prst="straightConnector1">
                            <a:avLst/>
                          </a:prstGeom>
                          <a:ln w="12700" cap="flat" cmpd="sng">
                            <a:solidFill>
                              <a:srgbClr val="000000"/>
                            </a:solidFill>
                            <a:prstDash val="solid"/>
                            <a:headEnd type="none" w="med" len="med"/>
                            <a:tailEnd type="none" w="med" len="med"/>
                          </a:ln>
                        </wps:spPr>
                        <wps:bodyPr/>
                      </wps:wsp>
                      <wps:wsp>
                        <wps:cNvPr id="142" name="直接箭头连接符 142"/>
                        <wps:cNvCnPr>
                          <a:stCxn id="118" idx="2"/>
                          <a:endCxn id="129" idx="1"/>
                        </wps:cNvCnPr>
                        <wps:spPr>
                          <a:xfrm>
                            <a:off x="14573" y="664579"/>
                            <a:ext cx="585" cy="0"/>
                          </a:xfrm>
                          <a:prstGeom prst="straightConnector1">
                            <a:avLst/>
                          </a:prstGeom>
                          <a:ln w="9525" cap="flat" cmpd="sng">
                            <a:solidFill>
                              <a:srgbClr val="000000"/>
                            </a:solidFill>
                            <a:prstDash val="solid"/>
                            <a:headEnd type="none" w="med" len="med"/>
                            <a:tailEnd type="triangle" w="med" len="med"/>
                          </a:ln>
                        </wps:spPr>
                        <wps:bodyPr/>
                      </wps:wsp>
                      <wps:wsp>
                        <wps:cNvPr id="122" name="直接箭头连接符 122"/>
                        <wps:cNvCnPr>
                          <a:stCxn id="118" idx="2"/>
                          <a:endCxn id="129" idx="1"/>
                        </wps:cNvCnPr>
                        <wps:spPr>
                          <a:xfrm>
                            <a:off x="14573" y="663975"/>
                            <a:ext cx="585" cy="0"/>
                          </a:xfrm>
                          <a:prstGeom prst="straightConnector1">
                            <a:avLst/>
                          </a:prstGeom>
                          <a:ln w="9525" cap="flat" cmpd="sng">
                            <a:solidFill>
                              <a:srgbClr val="000000"/>
                            </a:solidFill>
                            <a:prstDash val="solid"/>
                            <a:headEnd type="none" w="med" len="med"/>
                            <a:tailEnd type="triangle" w="med" len="med"/>
                          </a:ln>
                        </wps:spPr>
                        <wps:bodyPr/>
                      </wps:wsp>
                      <wps:wsp>
                        <wps:cNvPr id="123" name="直接箭头连接符 123"/>
                        <wps:cNvCnPr>
                          <a:stCxn id="118" idx="2"/>
                          <a:endCxn id="129" idx="1"/>
                        </wps:cNvCnPr>
                        <wps:spPr>
                          <a:xfrm>
                            <a:off x="14573" y="663371"/>
                            <a:ext cx="585" cy="0"/>
                          </a:xfrm>
                          <a:prstGeom prst="straightConnector1">
                            <a:avLst/>
                          </a:prstGeom>
                          <a:ln w="9525" cap="flat" cmpd="sng">
                            <a:solidFill>
                              <a:srgbClr val="000000"/>
                            </a:solidFill>
                            <a:prstDash val="solid"/>
                            <a:headEnd type="none" w="med" len="med"/>
                            <a:tailEnd type="triangle" w="med" len="med"/>
                          </a:ln>
                        </wps:spPr>
                        <wps:bodyPr/>
                      </wps:wsp>
                      <wps:wsp>
                        <wps:cNvPr id="124" name="直接箭头连接符 124"/>
                        <wps:cNvCnPr>
                          <a:stCxn id="118" idx="2"/>
                          <a:endCxn id="129" idx="1"/>
                        </wps:cNvCnPr>
                        <wps:spPr>
                          <a:xfrm>
                            <a:off x="14573" y="662767"/>
                            <a:ext cx="585" cy="0"/>
                          </a:xfrm>
                          <a:prstGeom prst="straightConnector1">
                            <a:avLst/>
                          </a:prstGeom>
                          <a:ln w="9525" cap="flat" cmpd="sng">
                            <a:solidFill>
                              <a:srgbClr val="000000"/>
                            </a:solidFill>
                            <a:prstDash val="solid"/>
                            <a:headEnd type="none" w="med" len="med"/>
                            <a:tailEnd type="triangle" w="med" len="med"/>
                          </a:ln>
                        </wps:spPr>
                        <wps:bodyPr/>
                      </wps:wsp>
                      <wps:wsp>
                        <wps:cNvPr id="151" name="直接箭头连接符 151"/>
                        <wps:cNvCnPr>
                          <a:stCxn id="118" idx="2"/>
                          <a:endCxn id="129" idx="1"/>
                        </wps:cNvCnPr>
                        <wps:spPr>
                          <a:xfrm>
                            <a:off x="14573" y="662164"/>
                            <a:ext cx="585" cy="0"/>
                          </a:xfrm>
                          <a:prstGeom prst="straightConnector1">
                            <a:avLst/>
                          </a:prstGeom>
                          <a:ln w="9525" cap="flat" cmpd="sng">
                            <a:solidFill>
                              <a:srgbClr val="000000"/>
                            </a:solidFill>
                            <a:prstDash val="solid"/>
                            <a:headEnd type="none" w="med" len="med"/>
                            <a:tailEnd type="triangle" w="med" len="med"/>
                          </a:ln>
                        </wps:spPr>
                        <wps:bodyPr/>
                      </wps:wsp>
                      <wps:wsp>
                        <wps:cNvPr id="165" name="直接箭头连接符 165"/>
                        <wps:cNvCnPr>
                          <a:stCxn id="118" idx="2"/>
                          <a:endCxn id="129" idx="1"/>
                        </wps:cNvCnPr>
                        <wps:spPr>
                          <a:xfrm>
                            <a:off x="14573" y="661560"/>
                            <a:ext cx="585" cy="0"/>
                          </a:xfrm>
                          <a:prstGeom prst="straightConnector1">
                            <a:avLst/>
                          </a:prstGeom>
                          <a:ln w="9525" cap="flat" cmpd="sng">
                            <a:solidFill>
                              <a:srgbClr val="000000"/>
                            </a:solidFill>
                            <a:prstDash val="solid"/>
                            <a:headEnd type="none" w="med" len="med"/>
                            <a:tailEnd type="triangle" w="med" len="med"/>
                          </a:ln>
                        </wps:spPr>
                        <wps:bodyPr/>
                      </wps:wsp>
                      <wps:wsp>
                        <wps:cNvPr id="152" name="直接箭头连接符 152"/>
                        <wps:cNvCnPr>
                          <a:stCxn id="118" idx="2"/>
                          <a:endCxn id="129" idx="1"/>
                        </wps:cNvCnPr>
                        <wps:spPr>
                          <a:xfrm>
                            <a:off x="14573" y="660341"/>
                            <a:ext cx="585" cy="0"/>
                          </a:xfrm>
                          <a:prstGeom prst="straightConnector1">
                            <a:avLst/>
                          </a:prstGeom>
                          <a:ln w="9525" cap="flat" cmpd="sng">
                            <a:solidFill>
                              <a:srgbClr val="000000"/>
                            </a:solidFill>
                            <a:prstDash val="solid"/>
                            <a:headEnd type="none" w="med" len="med"/>
                            <a:tailEnd type="triangle" w="med" len="med"/>
                          </a:ln>
                        </wps:spPr>
                        <wps:bodyPr/>
                      </wps:wsp>
                      <wps:wsp>
                        <wps:cNvPr id="158" name="直接箭头连接符 158"/>
                        <wps:cNvCnPr>
                          <a:stCxn id="118" idx="2"/>
                          <a:endCxn id="129" idx="1"/>
                        </wps:cNvCnPr>
                        <wps:spPr>
                          <a:xfrm>
                            <a:off x="14573" y="659737"/>
                            <a:ext cx="585" cy="0"/>
                          </a:xfrm>
                          <a:prstGeom prst="straightConnector1">
                            <a:avLst/>
                          </a:prstGeom>
                          <a:ln w="9525" cap="flat" cmpd="sng">
                            <a:solidFill>
                              <a:srgbClr val="000000"/>
                            </a:solidFill>
                            <a:prstDash val="solid"/>
                            <a:headEnd type="none" w="med" len="med"/>
                            <a:tailEnd type="triangle" w="med" len="med"/>
                          </a:ln>
                        </wps:spPr>
                        <wps:bodyPr/>
                      </wps:wsp>
                      <wps:wsp>
                        <wps:cNvPr id="154" name="直接箭头连接符 154"/>
                        <wps:cNvCnPr>
                          <a:stCxn id="118" idx="2"/>
                          <a:endCxn id="129" idx="1"/>
                        </wps:cNvCnPr>
                        <wps:spPr>
                          <a:xfrm>
                            <a:off x="14573" y="659134"/>
                            <a:ext cx="585" cy="0"/>
                          </a:xfrm>
                          <a:prstGeom prst="straightConnector1">
                            <a:avLst/>
                          </a:prstGeom>
                          <a:ln w="9525" cap="flat" cmpd="sng">
                            <a:solidFill>
                              <a:srgbClr val="000000"/>
                            </a:solidFill>
                            <a:prstDash val="solid"/>
                            <a:headEnd type="none" w="med" len="med"/>
                            <a:tailEnd type="triangle" w="med" len="med"/>
                          </a:ln>
                        </wps:spPr>
                        <wps:bodyPr/>
                      </wps:wsp>
                      <wps:wsp>
                        <wps:cNvPr id="161" name="矩形 161"/>
                        <wps:cNvSpPr/>
                        <wps:spPr>
                          <a:xfrm>
                            <a:off x="15158" y="664339"/>
                            <a:ext cx="1575" cy="4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新闻发布组</w:t>
                              </w:r>
                            </w:p>
                          </w:txbxContent>
                        </wps:txbx>
                        <wps:bodyPr upright="1"/>
                      </wps:wsp>
                      <wps:wsp>
                        <wps:cNvPr id="148" name="矩形 148"/>
                        <wps:cNvSpPr/>
                        <wps:spPr>
                          <a:xfrm>
                            <a:off x="15158" y="663737"/>
                            <a:ext cx="1575" cy="450"/>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ascii="仿宋_GB2312" w:hAnsi="仿宋_GB2312" w:eastAsia="仿宋_GB2312" w:cs="仿宋_GB2312"/>
                                  <w:b w:val="0"/>
                                  <w:bCs/>
                                  <w:color w:val="auto"/>
                                  <w:sz w:val="24"/>
                                  <w:szCs w:val="24"/>
                                  <w:highlight w:val="none"/>
                                  <w:lang w:val="en-US" w:eastAsia="zh-CN"/>
                                </w:rPr>
                                <w:t>善后处置组</w:t>
                              </w:r>
                            </w:p>
                          </w:txbxContent>
                        </wps:txbx>
                        <wps:bodyPr upright="1"/>
                      </wps:wsp>
                      <wps:wsp>
                        <wps:cNvPr id="146" name="矩形 146"/>
                        <wps:cNvSpPr/>
                        <wps:spPr>
                          <a:xfrm>
                            <a:off x="15158" y="663135"/>
                            <a:ext cx="1575" cy="4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事故调查组</w:t>
                              </w:r>
                            </w:p>
                          </w:txbxContent>
                        </wps:txbx>
                        <wps:bodyPr upright="1"/>
                      </wps:wsp>
                      <wps:wsp>
                        <wps:cNvPr id="147" name="矩形 147"/>
                        <wps:cNvSpPr/>
                        <wps:spPr>
                          <a:xfrm>
                            <a:off x="15158" y="662533"/>
                            <a:ext cx="1575" cy="4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后勤保障组</w:t>
                              </w:r>
                            </w:p>
                          </w:txbxContent>
                        </wps:txbx>
                        <wps:bodyPr upright="1"/>
                      </wps:wsp>
                      <wps:wsp>
                        <wps:cNvPr id="167" name="矩形 167"/>
                        <wps:cNvSpPr/>
                        <wps:spPr>
                          <a:xfrm>
                            <a:off x="15158" y="661931"/>
                            <a:ext cx="1575" cy="4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社会维稳组</w:t>
                              </w:r>
                            </w:p>
                          </w:txbxContent>
                        </wps:txbx>
                        <wps:bodyPr upright="1"/>
                      </wps:wsp>
                      <wps:wsp>
                        <wps:cNvPr id="149" name="矩形 149"/>
                        <wps:cNvSpPr/>
                        <wps:spPr>
                          <a:xfrm>
                            <a:off x="15158" y="661329"/>
                            <a:ext cx="1575" cy="4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医学救援组</w:t>
                              </w:r>
                            </w:p>
                          </w:txbxContent>
                        </wps:txbx>
                        <wps:bodyPr upright="1"/>
                      </wps:wsp>
                      <wps:wsp>
                        <wps:cNvPr id="150" name="矩形 150"/>
                        <wps:cNvSpPr/>
                        <wps:spPr>
                          <a:xfrm>
                            <a:off x="15158" y="660112"/>
                            <a:ext cx="1575" cy="4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专家技术组</w:t>
                              </w:r>
                            </w:p>
                          </w:txbxContent>
                        </wps:txbx>
                        <wps:bodyPr upright="1"/>
                      </wps:wsp>
                      <wps:wsp>
                        <wps:cNvPr id="157" name="矩形 157"/>
                        <wps:cNvSpPr/>
                        <wps:spPr>
                          <a:xfrm>
                            <a:off x="15158" y="658909"/>
                            <a:ext cx="1575" cy="4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综合协调组</w:t>
                              </w:r>
                            </w:p>
                          </w:txbxContent>
                        </wps:txbx>
                        <wps:bodyPr upright="1"/>
                      </wps:wsp>
                      <wps:wsp>
                        <wps:cNvPr id="160" name="矩形 160"/>
                        <wps:cNvSpPr/>
                        <wps:spPr>
                          <a:xfrm>
                            <a:off x="15158" y="659510"/>
                            <a:ext cx="1575" cy="4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应急处置组</w:t>
                              </w:r>
                            </w:p>
                          </w:txbxContent>
                        </wps:txbx>
                        <wps:bodyPr upright="1"/>
                      </wps:wsp>
                      <wps:wsp>
                        <wps:cNvPr id="162" name="直接箭头连接符 162"/>
                        <wps:cNvCnPr>
                          <a:stCxn id="118" idx="2"/>
                          <a:endCxn id="129" idx="1"/>
                        </wps:cNvCnPr>
                        <wps:spPr>
                          <a:xfrm>
                            <a:off x="9593" y="660019"/>
                            <a:ext cx="1" cy="480"/>
                          </a:xfrm>
                          <a:prstGeom prst="straightConnector1">
                            <a:avLst/>
                          </a:prstGeom>
                          <a:ln w="9525" cap="flat" cmpd="sng">
                            <a:solidFill>
                              <a:srgbClr val="000000"/>
                            </a:solidFill>
                            <a:prstDash val="solid"/>
                            <a:headEnd type="none" w="med" len="med"/>
                            <a:tailEnd type="triangle" w="med" len="med"/>
                          </a:ln>
                        </wps:spPr>
                        <wps:bodyPr/>
                      </wps:wsp>
                      <wps:wsp>
                        <wps:cNvPr id="153" name="矩形 153"/>
                        <wps:cNvSpPr/>
                        <wps:spPr>
                          <a:xfrm>
                            <a:off x="8393" y="660499"/>
                            <a:ext cx="2370" cy="1432"/>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州文体广电旅游局组织广播电视台及时向社会公众发布突发环境事件预警信息</w:t>
                              </w:r>
                            </w:p>
                          </w:txbxContent>
                        </wps:txbx>
                        <wps:bodyPr upright="1"/>
                      </wps:wsp>
                      <wps:wsp>
                        <wps:cNvPr id="155" name="矩形 155"/>
                        <wps:cNvSpPr/>
                        <wps:spPr>
                          <a:xfrm>
                            <a:off x="8708" y="659569"/>
                            <a:ext cx="1710" cy="4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州委宣传部</w:t>
                              </w:r>
                            </w:p>
                          </w:txbxContent>
                        </wps:txbx>
                        <wps:bodyPr upright="1"/>
                      </wps:wsp>
                      <wps:wsp>
                        <wps:cNvPr id="163" name="矩形 163"/>
                        <wps:cNvSpPr/>
                        <wps:spPr>
                          <a:xfrm>
                            <a:off x="9578" y="660034"/>
                            <a:ext cx="810" cy="450"/>
                          </a:xfrm>
                          <a:prstGeom prst="rect">
                            <a:avLst/>
                          </a:prstGeom>
                          <a:noFill/>
                          <a:ln>
                            <a:noFill/>
                          </a:ln>
                        </wps:spPr>
                        <wps:txbx>
                          <w:txbxContent>
                            <w:p>
                              <w:pPr>
                                <w:jc w:val="center"/>
                                <w:rPr>
                                  <w:rFonts w:eastAsia="宋体"/>
                                </w:rPr>
                              </w:pPr>
                              <w:r>
                                <w:rPr>
                                  <w:rFonts w:hint="eastAsia" w:ascii="仿宋_GB2312" w:hAnsi="仿宋_GB2312" w:eastAsia="仿宋_GB2312" w:cs="仿宋_GB2312"/>
                                  <w:b w:val="0"/>
                                  <w:bCs/>
                                  <w:color w:val="auto"/>
                                  <w:sz w:val="24"/>
                                  <w:szCs w:val="24"/>
                                  <w:highlight w:val="none"/>
                                </w:rPr>
                                <w:t>协调</w:t>
                              </w:r>
                            </w:p>
                          </w:txbxContent>
                        </wps:txbx>
                        <wps:bodyPr upright="1"/>
                      </wps:wsp>
                      <wps:wsp>
                        <wps:cNvPr id="156" name="直接箭头连接符 156"/>
                        <wps:cNvCnPr>
                          <a:stCxn id="118" idx="2"/>
                          <a:endCxn id="129" idx="1"/>
                        </wps:cNvCnPr>
                        <wps:spPr>
                          <a:xfrm>
                            <a:off x="10343" y="662028"/>
                            <a:ext cx="1395" cy="1"/>
                          </a:xfrm>
                          <a:prstGeom prst="straightConnector1">
                            <a:avLst/>
                          </a:prstGeom>
                          <a:ln w="9525" cap="flat" cmpd="sng">
                            <a:solidFill>
                              <a:srgbClr val="000000"/>
                            </a:solidFill>
                            <a:prstDash val="solid"/>
                            <a:headEnd type="none" w="med" len="med"/>
                            <a:tailEnd type="triangle" w="med" len="med"/>
                          </a:ln>
                        </wps:spPr>
                        <wps:bodyPr/>
                      </wps:wsp>
                      <wps:wsp>
                        <wps:cNvPr id="159" name="直接箭头连接符 159"/>
                        <wps:cNvCnPr>
                          <a:stCxn id="118" idx="2"/>
                          <a:endCxn id="129" idx="1"/>
                        </wps:cNvCnPr>
                        <wps:spPr>
                          <a:xfrm flipV="1">
                            <a:off x="10343" y="662029"/>
                            <a:ext cx="0" cy="3323"/>
                          </a:xfrm>
                          <a:prstGeom prst="straightConnector1">
                            <a:avLst/>
                          </a:prstGeom>
                          <a:ln w="9525" cap="flat" cmpd="sng">
                            <a:solidFill>
                              <a:srgbClr val="000000"/>
                            </a:solidFill>
                            <a:prstDash val="solid"/>
                            <a:headEnd type="none" w="med" len="med"/>
                            <a:tailEnd type="none" w="med" len="med"/>
                          </a:ln>
                        </wps:spPr>
                        <wps:bodyPr/>
                      </wps:wsp>
                      <wps:wsp>
                        <wps:cNvPr id="164" name="直接箭头连接符 164"/>
                        <wps:cNvCnPr>
                          <a:stCxn id="118" idx="2"/>
                          <a:endCxn id="129" idx="1"/>
                        </wps:cNvCnPr>
                        <wps:spPr>
                          <a:xfrm>
                            <a:off x="14439" y="665794"/>
                            <a:ext cx="719" cy="0"/>
                          </a:xfrm>
                          <a:prstGeom prst="straightConnector1">
                            <a:avLst/>
                          </a:prstGeom>
                          <a:ln w="9525" cap="flat" cmpd="sng">
                            <a:solidFill>
                              <a:srgbClr val="000000"/>
                            </a:solidFill>
                            <a:prstDash val="solid"/>
                            <a:headEnd type="none" w="med" len="med"/>
                            <a:tailEnd type="none" w="med" len="med"/>
                          </a:ln>
                        </wps:spPr>
                        <wps:bodyPr/>
                      </wps:wsp>
                      <wps:wsp>
                        <wps:cNvPr id="145" name="直接箭头连接符 145"/>
                        <wps:cNvCnPr>
                          <a:stCxn id="118" idx="2"/>
                          <a:endCxn id="129" idx="1"/>
                        </wps:cNvCnPr>
                        <wps:spPr>
                          <a:xfrm flipH="1">
                            <a:off x="13958" y="665174"/>
                            <a:ext cx="1222" cy="0"/>
                          </a:xfrm>
                          <a:prstGeom prst="straightConnector1">
                            <a:avLst/>
                          </a:prstGeom>
                          <a:ln w="9525" cap="flat" cmpd="sng">
                            <a:solidFill>
                              <a:srgbClr val="000000"/>
                            </a:solidFill>
                            <a:prstDash val="solid"/>
                            <a:headEnd type="none" w="med" len="med"/>
                            <a:tailEnd type="triangle" w="med" len="med"/>
                          </a:ln>
                        </wps:spPr>
                        <wps:bodyPr/>
                      </wps:wsp>
                      <wps:wsp>
                        <wps:cNvPr id="166" name="矩形 166"/>
                        <wps:cNvSpPr/>
                        <wps:spPr>
                          <a:xfrm>
                            <a:off x="15180" y="665564"/>
                            <a:ext cx="1553" cy="4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专家技术组</w:t>
                              </w:r>
                            </w:p>
                          </w:txbxContent>
                        </wps:txbx>
                        <wps:bodyPr upright="1"/>
                      </wps:wsp>
                      <wps:wsp>
                        <wps:cNvPr id="117" name="直接箭头连接符 117"/>
                        <wps:cNvCnPr>
                          <a:stCxn id="118" idx="2"/>
                          <a:endCxn id="129" idx="1"/>
                        </wps:cNvCnPr>
                        <wps:spPr>
                          <a:xfrm flipV="1">
                            <a:off x="14439" y="665177"/>
                            <a:ext cx="0" cy="617"/>
                          </a:xfrm>
                          <a:prstGeom prst="straightConnector1">
                            <a:avLst/>
                          </a:prstGeom>
                          <a:ln w="9525" cap="flat" cmpd="sng">
                            <a:solidFill>
                              <a:srgbClr val="000000"/>
                            </a:solidFill>
                            <a:prstDash val="solid"/>
                            <a:headEnd type="none" w="med" len="med"/>
                            <a:tailEnd type="none" w="med" len="med"/>
                          </a:ln>
                        </wps:spPr>
                        <wps:bodyPr/>
                      </wps:wsp>
                      <wps:wsp>
                        <wps:cNvPr id="112" name="直接箭头连接符 112"/>
                        <wps:cNvCnPr>
                          <a:stCxn id="118" idx="2"/>
                          <a:endCxn id="129" idx="1"/>
                        </wps:cNvCnPr>
                        <wps:spPr>
                          <a:xfrm>
                            <a:off x="13448" y="662028"/>
                            <a:ext cx="1140" cy="1"/>
                          </a:xfrm>
                          <a:prstGeom prst="straightConnector1">
                            <a:avLst/>
                          </a:prstGeom>
                          <a:ln w="9525" cap="flat" cmpd="sng">
                            <a:solidFill>
                              <a:srgbClr val="000000"/>
                            </a:solidFill>
                            <a:prstDash val="solid"/>
                            <a:headEnd type="none" w="med" len="med"/>
                            <a:tailEnd type="triangle" w="med" len="med"/>
                          </a:ln>
                        </wps:spPr>
                        <wps:bodyPr/>
                      </wps:wsp>
                      <wps:wsp>
                        <wps:cNvPr id="115" name="直接箭头连接符 115"/>
                        <wps:cNvCnPr>
                          <a:stCxn id="118" idx="2"/>
                          <a:endCxn id="129" idx="1"/>
                        </wps:cNvCnPr>
                        <wps:spPr>
                          <a:xfrm flipH="1">
                            <a:off x="10418" y="659780"/>
                            <a:ext cx="930" cy="0"/>
                          </a:xfrm>
                          <a:prstGeom prst="straightConnector1">
                            <a:avLst/>
                          </a:prstGeom>
                          <a:ln w="12700" cap="flat" cmpd="sng">
                            <a:solidFill>
                              <a:srgbClr val="000000"/>
                            </a:solidFill>
                            <a:prstDash val="solid"/>
                            <a:headEnd type="none" w="med" len="med"/>
                            <a:tailEnd type="triangle" w="med" len="med"/>
                          </a:ln>
                        </wps:spPr>
                        <wps:bodyPr/>
                      </wps:wsp>
                      <wps:wsp>
                        <wps:cNvPr id="103" name="矩形 103"/>
                        <wps:cNvSpPr/>
                        <wps:spPr>
                          <a:xfrm>
                            <a:off x="11903" y="667055"/>
                            <a:ext cx="1275" cy="4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应急终止</w:t>
                              </w:r>
                            </w:p>
                          </w:txbxContent>
                        </wps:txbx>
                        <wps:bodyPr upright="1"/>
                      </wps:wsp>
                      <wps:wsp>
                        <wps:cNvPr id="111" name="直接箭头连接符 111"/>
                        <wps:cNvCnPr>
                          <a:stCxn id="118" idx="2"/>
                        </wps:cNvCnPr>
                        <wps:spPr>
                          <a:xfrm>
                            <a:off x="12563" y="666587"/>
                            <a:ext cx="1" cy="468"/>
                          </a:xfrm>
                          <a:prstGeom prst="straightConnector1">
                            <a:avLst/>
                          </a:prstGeom>
                          <a:ln w="9525" cap="flat" cmpd="sng">
                            <a:solidFill>
                              <a:srgbClr val="000000"/>
                            </a:solidFill>
                            <a:prstDash val="solid"/>
                            <a:headEnd type="none" w="med" len="med"/>
                            <a:tailEnd type="triangle" w="med" len="med"/>
                          </a:ln>
                        </wps:spPr>
                        <wps:bodyPr/>
                      </wps:wsp>
                      <wps:wsp>
                        <wps:cNvPr id="118" name="矩形 118"/>
                        <wps:cNvSpPr/>
                        <wps:spPr>
                          <a:xfrm>
                            <a:off x="11123" y="664955"/>
                            <a:ext cx="2835" cy="7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州生态环境安全应急指挥部办公室</w:t>
                              </w:r>
                            </w:p>
                          </w:txbxContent>
                        </wps:txbx>
                        <wps:bodyPr upright="1"/>
                      </wps:wsp>
                      <wps:wsp>
                        <wps:cNvPr id="102" name="直接箭头连接符 102"/>
                        <wps:cNvCnPr>
                          <a:stCxn id="118" idx="2"/>
                        </wps:cNvCnPr>
                        <wps:spPr>
                          <a:xfrm>
                            <a:off x="13178" y="667259"/>
                            <a:ext cx="1125" cy="1"/>
                          </a:xfrm>
                          <a:prstGeom prst="straightConnector1">
                            <a:avLst/>
                          </a:prstGeom>
                          <a:ln w="9525" cap="flat" cmpd="sng">
                            <a:solidFill>
                              <a:srgbClr val="000000"/>
                            </a:solidFill>
                            <a:prstDash val="solid"/>
                            <a:headEnd type="none" w="med" len="med"/>
                            <a:tailEnd type="triangle" w="med" len="med"/>
                          </a:ln>
                        </wps:spPr>
                        <wps:bodyPr/>
                      </wps:wsp>
                      <wps:wsp>
                        <wps:cNvPr id="113" name="直接箭头连接符 113"/>
                        <wps:cNvCnPr/>
                        <wps:spPr>
                          <a:xfrm>
                            <a:off x="12563" y="664099"/>
                            <a:ext cx="2" cy="840"/>
                          </a:xfrm>
                          <a:prstGeom prst="straightConnector1">
                            <a:avLst/>
                          </a:prstGeom>
                          <a:ln w="9525" cap="flat" cmpd="sng">
                            <a:solidFill>
                              <a:srgbClr val="000000"/>
                            </a:solidFill>
                            <a:prstDash val="solid"/>
                            <a:headEnd type="none" w="med" len="med"/>
                            <a:tailEnd type="triangle" w="med" len="med"/>
                          </a:ln>
                        </wps:spPr>
                        <wps:bodyPr/>
                      </wps:wsp>
                      <wps:wsp>
                        <wps:cNvPr id="121" name="直接箭头连接符 121"/>
                        <wps:cNvCnPr/>
                        <wps:spPr>
                          <a:xfrm>
                            <a:off x="12563" y="662239"/>
                            <a:ext cx="1" cy="480"/>
                          </a:xfrm>
                          <a:prstGeom prst="straightConnector1">
                            <a:avLst/>
                          </a:prstGeom>
                          <a:ln w="9525" cap="flat" cmpd="sng">
                            <a:solidFill>
                              <a:srgbClr val="000000"/>
                            </a:solidFill>
                            <a:prstDash val="solid"/>
                            <a:headEnd type="none" w="med" len="med"/>
                            <a:tailEnd type="triangle" w="med" len="med"/>
                          </a:ln>
                        </wps:spPr>
                        <wps:bodyPr/>
                      </wps:wsp>
                      <wps:wsp>
                        <wps:cNvPr id="116" name="矩形 116"/>
                        <wps:cNvSpPr/>
                        <wps:spPr>
                          <a:xfrm>
                            <a:off x="14303" y="667055"/>
                            <a:ext cx="1275" cy="4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总结评估</w:t>
                              </w:r>
                            </w:p>
                          </w:txbxContent>
                        </wps:txbx>
                        <wps:bodyPr upright="1"/>
                      </wps:wsp>
                      <wps:wsp>
                        <wps:cNvPr id="108" name="矩形 108"/>
                        <wps:cNvSpPr/>
                        <wps:spPr>
                          <a:xfrm>
                            <a:off x="10900" y="666137"/>
                            <a:ext cx="3294" cy="4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州突发环境事件应急指挥部</w:t>
                              </w:r>
                            </w:p>
                            <w:p>
                              <w:pPr>
                                <w:rPr>
                                  <w:rFonts w:eastAsia="宋体"/>
                                </w:rPr>
                              </w:pPr>
                            </w:p>
                          </w:txbxContent>
                        </wps:txbx>
                        <wps:bodyPr upright="1"/>
                      </wps:wsp>
                      <wps:wsp>
                        <wps:cNvPr id="109" name="流程图: 决策 109"/>
                        <wps:cNvSpPr/>
                        <wps:spPr>
                          <a:xfrm>
                            <a:off x="11123" y="662719"/>
                            <a:ext cx="2895" cy="1380"/>
                          </a:xfrm>
                          <a:prstGeom prst="flowChartDecision">
                            <a:avLst/>
                          </a:prstGeom>
                          <a:no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各项污染指标</w:t>
                              </w:r>
                            </w:p>
                            <w:p>
                              <w:pPr>
                                <w:jc w:val="center"/>
                                <w:rPr>
                                  <w:rFonts w:eastAsia="宋体"/>
                                </w:rPr>
                              </w:pPr>
                              <w:r>
                                <w:rPr>
                                  <w:rFonts w:hint="eastAsia" w:eastAsia="宋体"/>
                                </w:rPr>
                                <w:t>变化</w:t>
                              </w:r>
                            </w:p>
                          </w:txbxContent>
                        </wps:txbx>
                        <wps:bodyPr upright="1"/>
                      </wps:wsp>
                      <wps:wsp>
                        <wps:cNvPr id="106" name="矩形 106"/>
                        <wps:cNvSpPr/>
                        <wps:spPr>
                          <a:xfrm>
                            <a:off x="11704" y="661789"/>
                            <a:ext cx="1775" cy="450"/>
                          </a:xfrm>
                          <a:prstGeom prst="rect">
                            <a:avLst/>
                          </a:prstGeom>
                          <a:noFill/>
                          <a:ln w="9525" cap="flat" cmpd="sng">
                            <a:solidFill>
                              <a:srgbClr val="000000"/>
                            </a:solidFill>
                            <a:prstDash val="solid"/>
                            <a:miter/>
                            <a:headEnd type="none" w="med" len="med"/>
                            <a:tailEnd type="none" w="med" len="med"/>
                          </a:ln>
                        </wps:spPr>
                        <wps:txbx>
                          <w:txbxContent>
                            <w:p>
                              <w:pPr>
                                <w:jc w:val="both"/>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应急响应措施</w:t>
                              </w:r>
                            </w:p>
                          </w:txbxContent>
                        </wps:txbx>
                        <wps:bodyPr upright="1"/>
                      </wps:wsp>
                      <wps:wsp>
                        <wps:cNvPr id="114" name="直接箭头连接符 114"/>
                        <wps:cNvCnPr/>
                        <wps:spPr>
                          <a:xfrm>
                            <a:off x="12567" y="658894"/>
                            <a:ext cx="0" cy="675"/>
                          </a:xfrm>
                          <a:prstGeom prst="straightConnector1">
                            <a:avLst/>
                          </a:prstGeom>
                          <a:ln w="9525" cap="flat" cmpd="sng">
                            <a:solidFill>
                              <a:srgbClr val="000000"/>
                            </a:solidFill>
                            <a:prstDash val="solid"/>
                            <a:headEnd type="none" w="med" len="med"/>
                            <a:tailEnd type="triangle" w="med" len="med"/>
                          </a:ln>
                        </wps:spPr>
                        <wps:bodyPr/>
                      </wps:wsp>
                      <wps:wsp>
                        <wps:cNvPr id="119" name="矩形 119"/>
                        <wps:cNvSpPr/>
                        <wps:spPr>
                          <a:xfrm>
                            <a:off x="11596" y="660694"/>
                            <a:ext cx="1908" cy="450"/>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ascii="仿宋_GB2312" w:hAnsi="仿宋_GB2312" w:eastAsia="仿宋_GB2312" w:cs="仿宋_GB2312"/>
                                  <w:b w:val="0"/>
                                  <w:bCs/>
                                  <w:color w:val="auto"/>
                                  <w:sz w:val="24"/>
                                  <w:szCs w:val="24"/>
                                  <w:highlight w:val="none"/>
                                </w:rPr>
                                <w:t>启动应急响应</w:t>
                              </w:r>
                            </w:p>
                          </w:txbxContent>
                        </wps:txbx>
                        <wps:bodyPr upright="1"/>
                      </wps:wsp>
                      <wps:wsp>
                        <wps:cNvPr id="105" name="矩形 105"/>
                        <wps:cNvSpPr/>
                        <wps:spPr>
                          <a:xfrm>
                            <a:off x="10929" y="658444"/>
                            <a:ext cx="3290" cy="4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州生态环境安全应急指挥部</w:t>
                              </w:r>
                            </w:p>
                          </w:txbxContent>
                        </wps:txbx>
                        <wps:bodyPr upright="1"/>
                      </wps:wsp>
                      <wps:wsp>
                        <wps:cNvPr id="104" name="矩形 104"/>
                        <wps:cNvSpPr/>
                        <wps:spPr>
                          <a:xfrm>
                            <a:off x="11425" y="659569"/>
                            <a:ext cx="2250" cy="45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发布预警</w:t>
                              </w:r>
                            </w:p>
                          </w:txbxContent>
                        </wps:txbx>
                        <wps:bodyPr upright="1"/>
                      </wps:wsp>
                      <wps:wsp>
                        <wps:cNvPr id="110" name="矩形 110"/>
                        <wps:cNvSpPr/>
                        <wps:spPr>
                          <a:xfrm>
                            <a:off x="14078" y="664724"/>
                            <a:ext cx="810" cy="450"/>
                          </a:xfrm>
                          <a:prstGeom prst="rect">
                            <a:avLst/>
                          </a:prstGeom>
                          <a:noFill/>
                          <a:ln>
                            <a:noFill/>
                          </a:ln>
                        </wps:spPr>
                        <wps:txbx>
                          <w:txbxContent>
                            <w:p>
                              <w:pPr>
                                <w:jc w:val="center"/>
                                <w:rPr>
                                  <w:rFonts w:eastAsia="宋体"/>
                                </w:rPr>
                              </w:pPr>
                              <w:r>
                                <w:rPr>
                                  <w:rFonts w:hint="eastAsia" w:ascii="仿宋_GB2312" w:hAnsi="仿宋_GB2312" w:eastAsia="仿宋_GB2312" w:cs="仿宋_GB2312"/>
                                  <w:b w:val="0"/>
                                  <w:bCs/>
                                  <w:color w:val="auto"/>
                                  <w:sz w:val="24"/>
                                  <w:szCs w:val="24"/>
                                  <w:highlight w:val="none"/>
                                  <w:lang w:val="en-US" w:eastAsia="zh-CN"/>
                                </w:rPr>
                                <w:t>会商</w:t>
                              </w:r>
                            </w:p>
                          </w:txbxContent>
                        </wps:txbx>
                        <wps:bodyPr upright="1"/>
                      </wps:wsp>
                      <wps:wsp>
                        <wps:cNvPr id="107" name="矩形 107"/>
                        <wps:cNvSpPr/>
                        <wps:spPr>
                          <a:xfrm>
                            <a:off x="10253" y="664004"/>
                            <a:ext cx="1410" cy="769"/>
                          </a:xfrm>
                          <a:prstGeom prst="rect">
                            <a:avLst/>
                          </a:prstGeom>
                          <a:noFill/>
                          <a:ln>
                            <a:noFill/>
                          </a:ln>
                        </wps:spPr>
                        <wps:txbx>
                          <w:txbxContent>
                            <w:p>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未达到相关标准要求</w:t>
                              </w:r>
                            </w:p>
                          </w:txbxContent>
                        </wps:txbx>
                        <wps:bodyPr upright="1"/>
                      </wps:wsp>
                      <wps:wsp>
                        <wps:cNvPr id="120" name="矩形 120"/>
                        <wps:cNvSpPr/>
                        <wps:spPr>
                          <a:xfrm>
                            <a:off x="12504" y="664187"/>
                            <a:ext cx="944" cy="450"/>
                          </a:xfrm>
                          <a:prstGeom prst="rect">
                            <a:avLst/>
                          </a:prstGeom>
                          <a:noFill/>
                          <a:ln>
                            <a:noFill/>
                          </a:ln>
                        </wps:spPr>
                        <wps:txbx>
                          <w:txbxContent>
                            <w:p>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报 告</w:t>
                              </w:r>
                            </w:p>
                          </w:txbxContent>
                        </wps:txbx>
                        <wps:bodyPr upright="1"/>
                      </wps:wsp>
                    </wpg:wgp>
                  </a:graphicData>
                </a:graphic>
              </wp:anchor>
            </w:drawing>
          </mc:Choice>
          <mc:Fallback>
            <w:pict>
              <v:group id="_x0000_s1026" o:spid="_x0000_s1026" o:spt="203" style="position:absolute;left:0pt;margin-left:-1.65pt;margin-top:16.1pt;height:616.95pt;width:445.5pt;z-index:251669504;mso-width-relative:page;mso-height-relative:page;" coordorigin="8393,655166" coordsize="8910,12339" o:gfxdata="UEsDBAoAAAAAAIdO4kAAAAAAAAAAAAAAAAAEAAAAZHJzL1BLAwQUAAAACACHTuJAqmeuOtoAAAAK&#10;AQAADwAAAGRycy9kb3ducmV2LnhtbE2PTUvDQBCG74L/YRnBW7v5wDTEbIoU9VQEW0G8bbPTJDQ7&#10;G7LbpP33jid7HN6H932mXF9sLyYcfedIQbyMQCDVznTUKPjavy1yED5oMrp3hAqu6GFd3d+VujBu&#10;pk+cdqERXEK+0AraEIZCSl+3aLVfugGJs6MbrQ58jo00o5653PYyiaJMWt0RL7R6wE2L9Wl3tgre&#10;Zz2/pPHrtD0dN9ef/dPH9zZGpR4f4ugZRMBL+IfhT5/VoWKngzuT8aJXsEhTJhWkSQKC8zxfrUAc&#10;GEyyLAZZlfL2heoXUEsDBBQAAAAIAIdO4kCKb7o0LAsAAE2MAAAOAAAAZHJzL2Uyb0RvYy54bWzt&#10;XUuP41gV3iPxH6zs6fK9fsVRV8+iaqZZIGhpBvbuxHlIiW3Z7k71EgkhJKQRKzYjgTQCBBLDhmGF&#10;gF9T0/wMzrkPX9uxE7uoSuLUnUVPynYc+9zvnvOd170vP7nbrI33YZqt4uh6RF6YIyOMpvFsFS2u&#10;Rz/94rMfjEdGlgfRLFjHUXg9+hBmo09eff97L7fJJKTxMl7PwtSAm0TZZJtcj5Z5nkyurrLpMtwE&#10;2Ys4CSM4OY/TTZDDn+niapYGW7j7Zn1FTdO92sbpLEnjaZhlcPSWnxyJO6ZdbhjP56tpeBtP323C&#10;KOd3TcN1kMMrZctVko1esaedz8Np/pP5PAtzY309gjfN2b/wI/D5Lf579eplMFmkQbJcTcUjBF0e&#10;ofZOm2AVwY8Wt7oN8sB4l652brVZTdM4i+f5i2m8ueIvwiQCb0HMmmxep/G7hL3LYrJdJIXQYaBq&#10;Un/wbac/fv8mNVYzQIILAx8FGxjyj//8xf1vfmXgEZDPNllM4LLXafJ58iYVBxb8L3zlu3m6wf/D&#10;yxh3TLIfCsmGd7kxhYOO63hjB4Q+hXPe2HKo63DZT5cwQPi9seVbIwNOu45DXFee/VTcYewT8XVC&#10;LcvH01fyt6/wEYsn2iYAzExJK/v/pPX5MkhCNggZikFKy4KnEdL6/V/u//W1QeAIEw67rBBVNslA&#10;ag1yIqbtkJ0XlgKziQ/DgdJyxrTyssEkSbP8dRhvDPxwPUoB5Ax7wfsfZTmXi7wEfzeKP1ut13A8&#10;mKwjY3s98h3qwL0DmLxzmDTwcZMAALJowW6TxevVDL+C38jSxdubdWq8D3ACsf/E01Quw9+7DbIl&#10;v46dwsuCyWaVhyn7tAyD2afRzMg/JACxCHTLCB9mE85GxjoEVYSf2JV5sFp3uRLGfx0BDHDAuZDx&#10;U3739g5ugx/fxrMPMF7vknS1WIKkCHt0gQ9+ydMDhXoFUL769rsv//jxb9/c/+Hb//7nd/j5r38y&#10;CFwgnhfgdROJKSZfSWK8mF+EwmSSuPFs9uVgInEDiGKggckCNy1myA5osjwNUCg3cRQBfuKU7IPQ&#10;8XHzULTk6SqIFusWbDUjhsMExXVsaMA4VnUITEyFhQ46hLrELbDgMXwrLPiu0Jg2aN69aOilQio6&#10;pVmi5zYHLbsuaDjSS9CgrUEfM+vk0rHgDXLSUR9Ez00btR5R0lpZH31G+nWgUEY1UDGAdu4wI8G2&#10;SqB41GemW81ICjZfAAXIzuNNSQ2UYwPFUmRZ0j9BlrsCxXIKvutRgAWgQQGFuBT0OrPkz113oyCE&#10;kWzhT8xXEDO0G3+SNtMzTTYNleClxRxXPQzNnxg3b7b2J+NPFljdKn+CI/3MugW2nJt1z3bq2tqy&#10;JRwedRJqbX10bU0LoDTrEIsNfUmHMN83v7mLeGwEkbaaQZRCqotoVpwDhsDPKfdSOHLcxWzz/y2P&#10;Fthzvbof56CFQQNADrj/2pNTvv/pNBGErvYaKYsBpwQwoabawAFOfmGkfO6sKCOlnfwBOfm2goZg&#10;inCkl5FyiAP+K/qeru3bzHEtYcHxhEvxuF6+NlJHN1IqUChdinJksIPvSW0EGwOK4/EIoAIKpbbQ&#10;G/aYYag9OHjx4SAVd2uhA+UwHLoUNTpAwDYzOiAZ4yPQAdvx4bHY4Jk+DyOpwXPGYpIfCORpMnAG&#10;ZABUtCQDUuP3jDY6RLolrun6WuNfaGoI0pgSKC16qBx87BbaACPCdAghDvuy0iHCl3V5nrJd+2sd&#10;cg46BEZrr0MBoQlFIrtBQzgUrmmSFmgAlYSbamhUM9JnFvVCGrcfGuUg2NHYiyerN3zS5q/aPMz9&#10;uPiC/LmJqu0o5QwPTUu3lzucG7gORcrsA5Gyp6HGElyu7Xg13aWp8YCCIfQQvOCCqlk7iudVwMvy&#10;uQlUrEnDa0jwUrG2ZkLN/epSGPbI8LLqNToaXkOCl3LsW+BV9vOPzrxc6rm1NJKG14DgheXAe4k9&#10;XHBK40iJWwtFaXgNCF5YNbwXXrwk/2TGkThQrwr41txLFskPqpgZqmf2w4uX15wMXqYFgRMNr1Jn&#10;xbDgpQoum7kXlN2e0Dg6vmdp7lVp3BkWvA5ReyjBOCm8doKqmnsNiXspai9Swm6Zy3eo7YAiINCA&#10;vAhI9D8qokR0EdDBvsLmQPu5dSphl5Eg6bJ2oGzX+gHF2rFJGiiSW/fNyJwdUFRbhARKuQ+iJ1CI&#10;VW9A0RrlUjTKTlkh7xkWjlg/oFCHFzJr04NxistqVIfYcc308Gjyg4BCfN6Ko4FyeUCxVdmaND3l&#10;OrV+GoVYvMNWA+XygIILvlTJLO+je5BGMQnvhNJAuUCg7Jgep2frg3KPnbFv1kqEtNdzKV4PrmhS&#10;1Sg8Z/QQjQL9FvUeGQ2UiwHKoWyUe/xCM79Y8aGhBLvozdIdPg2LgjUH707W7uuoOjPBgOGISg8c&#10;ZsBqsTvXtP2auaKWhwXNEOslNm9Mb6+Y7tWqp3s6j93T6aiaCwmUcmthB6B4pgj7g7lya0Ah2OTJ&#10;gKJ7f9uWE2zWHOcWzXV3FAoc6aNQfFhfU3aPQqUDflc5SuOngQn+RLG45DDk7KioeUsVQTmIfqQK&#10;Thgv0TvjUpOydI8aO2JhWzAzBjio7ZZAt+1lbKFVdAVORwxUaKwFX+VI2RPiy5ivV8nPcMlTnKVi&#10;aV5SRVrNmghTYlmH1jC8VKT1TQmeDGVQhiu94GaU8Tpd4RQ/IcrK2IK1JwD8rEABerRqFsiDjlOm&#10;xJ6pdzMYaOH6lHuLhHkL59NDiymwH9YVGBhDSXMc4tVARii2l6GpfKYoG1TFHa5vVQvllbnXYdeI&#10;lFbJcJx6awJx0ElHMGjfaNi+EVHJgWZrBxcoV+kJrV0zpyrbPVJfxk9wKpc/4vMj74Oxe5BblNqo&#10;BWTHjxdDya9cdLzJMSRydVJWSfr8sDUoa0cO8Sq44HhKbIdXmTau24DkHRoZ6svb+7jXyRPRqkGs&#10;3jEopMGK1lKTiZAzX+O6e4qU+HgP5sl5JkSwK7FEGDARj9K8auC8SvUktJi8covCQV7FUiudFj6G&#10;tW0lvlxnXOuaknlQvveUtmpnvRQVGo2qDwdHlBnr4MNBUZfEgu3XdQ2FjcK45fH0Auxh83ZZMEMG&#10;sAmWeYhewwUKN4+oayxS5MU8Wl8REcAn8KUp9PkXXRBFbFrsVTllihgSiOJ5ocaN1ArdY+4UYXDF&#10;M+brLGo7dNZ2iB6iMnBBVb10hwalfLfJUkpWxBW5n6ShcdbQwP3xahSlZ5jZtrQ71GAdLq39Ceus&#10;qkCBI0ppdOCypo8LkTK/2SX11SCgzQWytjofsW/r14Fw2aLG47t//Pzjn399/9W/J8b9L//+8Zvf&#10;GoS3HvSItSj/h2KSHACnDA0dF7U/uE8VnGs3NvN1vL1ZBml+G05XuLf3vv1ci6otvSUwkyqOF+wE&#10;fKwtgc0dmwRHeqka4pmgTZiqAQenBhvIQukQ3YFdpoehasihQh+4QOGmm8sD2VQW5x+P60U6Mlmp&#10;V4Fv2pe8GTEnqwHDgqoqXeHWo4fpcXzQQ0yHNGwy4iMf0nTlAugK2IIqUMxyqrETr8UtDrnSsOv7&#10;jwGvFXpD54OGnQ9CRlEDStm6dAAKsTGeyoCy26xCKbaDa40yfI2C3SRVoPA+2u6mxzaLqLwNm18j&#10;h1Fej+5WeZPyXWdNVfkmU/nlUrcOM9KEBXuEjbdNmOAVQRNb9gV5vLOs3bvs1WaIg1l4mM206dz6&#10;r3An3iqk4Yhi1h0kDdpNemRQS1NLauOunU+g+h5V0JC/X0y2C3CCYcgWaZAsV9PbIA/Kf8PnbTIJ&#10;abyM17Mwff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nw0AAFtDb250ZW50X1R5cGVzXS54bWxQSwECFAAKAAAAAACHTuJAAAAAAAAAAAAAAAAA&#10;BgAAAAAAAAAAABAAAACBDAAAX3JlbHMvUEsBAhQAFAAAAAgAh07iQIoUZjzRAAAAlAEAAAsAAAAA&#10;AAAAAQAgAAAApQwAAF9yZWxzLy5yZWxzUEsBAhQACgAAAAAAh07iQAAAAAAAAAAAAAAAAAQAAAAA&#10;AAAAAAAQAAAAAAAAAGRycy9QSwECFAAUAAAACACHTuJAqmeuOtoAAAAKAQAADwAAAAAAAAABACAA&#10;AAAiAAAAZHJzL2Rvd25yZXYueG1sUEsBAhQAFAAAAAgAh07iQIpvujQsCwAATYwAAA4AAAAAAAAA&#10;AQAgAAAAKQEAAGRycy9lMm9Eb2MueG1sUEsFBgAAAAAGAAYAWQEAAMcOAAAAAA==&#10;">
                <o:lock v:ext="edit" aspectratio="f"/>
                <v:rect id="_x0000_s1026" o:spid="_x0000_s1026" o:spt="1" style="position:absolute;left:10451;top:655166;height:582;width:4198;" filled="f" stroked="t" coordsize="21600,21600" o:gfxdata="UEsDBAoAAAAAAIdO4kAAAAAAAAAAAAAAAAAEAAAAZHJzL1BLAwQUAAAACACHTuJAAsMRr74AAADc&#10;AAAADwAAAGRycy9kb3ducmV2LnhtbEWPQWsCMRCF7wX/QxjBWzdrxVJWo2ip0JNQLbTehs2YLG4m&#10;yyZ17b93DoXeZnhv3vtmub6FVl2pT01kA9OiBEVcR9uwM/B53D2+gEoZ2WIbmQz8UoL1avSwxMrG&#10;gT/oeshOSQinCg34nLtK61R7CpiK2BGLdo59wCxr77TtcZDw0OqnsnzWARuWBo8dvXqqL4efYOCt&#10;O+03c5f05iv770vcDju/d8ZMxtNyASrTLf+b/67freDPBF+ekQn06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sMRr7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县（市</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开发区</w:t>
                        </w:r>
                        <w:r>
                          <w:rPr>
                            <w:rFonts w:hint="eastAsia" w:ascii="仿宋_GB2312" w:hAnsi="仿宋_GB2312" w:eastAsia="仿宋_GB2312" w:cs="仿宋_GB2312"/>
                            <w:b w:val="0"/>
                            <w:bCs/>
                            <w:color w:val="auto"/>
                            <w:sz w:val="24"/>
                            <w:szCs w:val="24"/>
                            <w:highlight w:val="none"/>
                          </w:rPr>
                          <w:t>）人民政府</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管委会</w:t>
                        </w:r>
                        <w:r>
                          <w:rPr>
                            <w:rFonts w:hint="eastAsia" w:ascii="仿宋_GB2312" w:hAnsi="仿宋_GB2312" w:eastAsia="仿宋_GB2312" w:cs="仿宋_GB2312"/>
                            <w:b w:val="0"/>
                            <w:bCs/>
                            <w:color w:val="auto"/>
                            <w:sz w:val="24"/>
                            <w:szCs w:val="24"/>
                            <w:highlight w:val="none"/>
                            <w:lang w:eastAsia="zh-CN"/>
                          </w:rPr>
                          <w:t>）</w:t>
                        </w:r>
                      </w:p>
                    </w:txbxContent>
                  </v:textbox>
                </v:rect>
                <v:shape id="_x0000_s1026" o:spid="_x0000_s1026" o:spt="32" type="#_x0000_t32" style="position:absolute;left:12565;top:655747;height:510;width:1;" filled="f" stroked="t" coordsize="21600,21600" o:gfxdata="UEsDBAoAAAAAAIdO4kAAAAAAAAAAAAAAAAAEAAAAZHJzL1BLAwQUAAAACACHTuJADiANG7wAAADc&#10;AAAADwAAAGRycy9kb3ducmV2LnhtbEVPS2sCMRC+F/wPYQRvNauHbbsaBRXpXlqoFvE4bMZNcDNZ&#10;NqmvX98Igrf5+J4znV9cI07UBetZwWiYgSCuvLZcK/jdrl/fQYSIrLHxTAquFGA+671MsdD+zD90&#10;2sRapBAOBSowMbaFlKEy5DAMfUucuIPvHMYEu1rqDs8p3DVynGW5dGg5NRhsaWmoOm7+nIK42l9N&#10;vqsWH/Z7+/mV21tZliulBv1RNgER6RKf4oe71Gn++A3uz6QL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4gDRu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_x0000_s1026" o:spid="_x0000_s1026" o:spt="1" style="position:absolute;left:12616;top:655771;height:450;width:960;" filled="f" stroked="f" coordsize="21600,21600" o:gfxdata="UEsDBAoAAAAAAIdO4kAAAAAAAAAAAAAAAAAEAAAAZHJzL1BLAwQUAAAACACHTuJAs+5jZ7sAAADc&#10;AAAADwAAAGRycy9kb3ducmV2LnhtbEVPTYvCMBC9L/gfwgh7WTRVWJFq9CCIRRbEVj0PzdgWm0lt&#10;Yuv++82C4G0e73OW66epRUetqywrmIwjEMS51RUXCk7ZdjQH4TyyxtoyKfglB+vV4GOJsbY9H6lL&#10;fSFCCLsYFZTeN7GULi/JoBvbhjhwV9sa9AG2hdQt9iHc1HIaRTNpsOLQUGJDm5LyW/owCvr80F2y&#10;n508fF0Sy/fkvknPe6U+h5NoAcLT07/FL3eiw/zpN/w/Ey6Q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5jZ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eastAsia="宋体"/>
                          </w:rPr>
                        </w:pPr>
                        <w:r>
                          <w:rPr>
                            <w:rFonts w:hint="eastAsia" w:ascii="仿宋_GB2312" w:hAnsi="仿宋_GB2312" w:eastAsia="仿宋_GB2312" w:cs="仿宋_GB2312"/>
                            <w:b w:val="0"/>
                            <w:bCs/>
                            <w:color w:val="auto"/>
                            <w:sz w:val="24"/>
                            <w:szCs w:val="24"/>
                            <w:highlight w:val="none"/>
                          </w:rPr>
                          <w:t>报 告</w:t>
                        </w:r>
                      </w:p>
                    </w:txbxContent>
                  </v:textbox>
                </v:rect>
                <v:rect id="_x0000_s1026" o:spid="_x0000_s1026" o:spt="1" style="position:absolute;left:11048;top:656280;height:723;width:2971;" filled="f" stroked="t" coordsize="21600,21600" o:gfxdata="UEsDBAoAAAAAAIdO4kAAAAAAAAAAAAAAAAAEAAAAZHJzL1BLAwQUAAAACACHTuJAffgXrLwAAADc&#10;AAAADwAAAGRycy9kb3ducmV2LnhtbEVP32vCMBB+F/Y/hBv4ZlN1G1KN0skKexLmBPXtaG5JsbmU&#10;JrPuv18GA9/u4/t5q83NteJKfWg8K5hmOQji2uuGjYLDZzVZgAgRWWPrmRT8UIDN+mG0wkL7gT/o&#10;uo9GpBAOBSqwMXaFlKG25DBkviNO3JfvHcYEeyN1j0MKd62c5fmLdNhwarDY0dZSfdl/OwVv3XlX&#10;Ppsgy2O0p4t/HSq7M0qNH6f5EkSkW7yL/93vOs2fP8HfM+kCuf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34F6y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州生态环境安全应急指挥部办公室</w:t>
                        </w:r>
                      </w:p>
                      <w:p>
                        <w:pPr>
                          <w:jc w:val="center"/>
                          <w:rPr>
                            <w:rFonts w:eastAsia="宋体"/>
                          </w:rPr>
                        </w:pPr>
                      </w:p>
                    </w:txbxContent>
                  </v:textbox>
                </v:rect>
                <v:rect id="_x0000_s1026" o:spid="_x0000_s1026" o:spt="1" style="position:absolute;left:15258;top:657292;height:793;width:2045;" filled="f" stroked="t" coordsize="21600,21600" o:gfxdata="UEsDBAoAAAAAAIdO4kAAAAAAAAAAAAAAAAAEAAAAZHJzL1BLAwQUAAAACACHTuJAFiAu77wAAADc&#10;AAAADwAAAGRycy9kb3ducmV2LnhtbEVP32vCMBB+H/g/hBv4NlMFx6zGUscEnwpTYfPtaG5JsbmU&#10;Jtruv18Gg73dx/fzNsXoWnGnPjSeFcxnGQji2uuGjYLzaf/0AiJEZI2tZ1LwTQGK7eRhg7n2A7/T&#10;/RiNSCEcclRgY+xyKUNtyWGY+Y44cV++dxgT7I3UPQ4p3LVykWXP0mHDqcFiR6+W6uvx5hS8dZeq&#10;XJogy49oP69+N+xtZZSaPs6zNYhIY/wX/7kPOs1frOD3mXSB3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gLu+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省生态环境安全应急办</w:t>
                        </w:r>
                      </w:p>
                    </w:txbxContent>
                  </v:textbox>
                </v:rect>
                <v:rect id="_x0000_s1026" o:spid="_x0000_s1026" o:spt="1" style="position:absolute;left:13593;top:657245;height:550;width:1626;" filled="f" stroked="f" coordsize="21600,21600" o:gfxdata="UEsDBAoAAAAAAIdO4kAAAAAAAAAAAAAAAAAEAAAAZHJzL1BLAwQUAAAACACHTuJA2DZaJL8AAADc&#10;AAAADwAAAGRycy9kb3ducmV2LnhtbEWPT2vCQBDF7wW/wzKCl1I3KhRJXT0IYigFMf45D9lpEpqd&#10;jdltYr+9cxB6m+G9ee83q83dNaqnLtSeDcymCSjiwtuaSwPn0+5tCSpEZIuNZzLwRwE269HLClPr&#10;Bz5Sn8dSSQiHFA1UMbap1qGoyGGY+pZYtG/fOYyydqW2HQ4S7ho9T5J37bBmaaiwpW1FxU/+6wwM&#10;xaG/nr72+vB6zTzfsts2v3waMxnPkg9Qke7x3/y8zqzgL4RWnpEJ9P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g2WiS/&#10;AAAA3AAAAA8AAAAAAAAAAQAgAAAAIgAAAGRycy9kb3ducmV2LnhtbFBLAQIUABQAAAAIAIdO4kAz&#10;LwWeOwAAADkAAAAQAAAAAAAAAAEAIAAAAA4BAABkcnMvc2hhcGV4bWwueG1sUEsFBgAAAAAGAAYA&#10;WwEAALgDAAAAAA==&#10;">
                  <v:fill on="f" focussize="0,0"/>
                  <v:stroke on="f"/>
                  <v:imagedata o:title=""/>
                  <o:lock v:ext="edit" aspectratio="f"/>
                  <v:textbox>
                    <w:txbxContent>
                      <w:p>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Ⅰ、Ⅱ、Ⅲ级</w:t>
                        </w:r>
                      </w:p>
                      <w:p>
                        <w:pPr>
                          <w:jc w:val="center"/>
                          <w:rPr>
                            <w:rFonts w:eastAsia="宋体"/>
                          </w:rPr>
                        </w:pPr>
                      </w:p>
                    </w:txbxContent>
                  </v:textbox>
                </v:rect>
                <v:shape id="_x0000_s1026" o:spid="_x0000_s1026" o:spt="32" type="#_x0000_t32" style="position:absolute;left:12566;top:657003;height:489;width:0;" filled="f" stroked="t" coordsize="21600,21600" o:gfxdata="UEsDBAoAAAAAAIdO4kAAAAAAAAAAAAAAAAAEAAAAZHJzL1BLAwQUAAAACACHTuJAYWyogLsAAADc&#10;AAAADwAAAGRycy9kb3ducmV2LnhtbEVPS2sCMRC+F/wPYQRvNauHxW6Ngoq4Fws+kB6HzXQTupks&#10;m/j89Y0g9DYf33Om85trxIW6YD0rGA0zEMSV15ZrBcfD+n0CIkRkjY1nUnCnAPNZ722KhfZX3tFl&#10;H2uRQjgUqMDE2BZShsqQwzD0LXHifnznMCbY1VJ3eE3hrpHjLMulQ8upwWBLS0PV7/7sFMTV993k&#10;p2rxYb8Om21uH2VZrpQa9EfZJ4hIt/gvfrlLneaPc3g+ky6Q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Wyog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_x0000_s1026" o:spid="_x0000_s1026" o:spt="1" style="position:absolute;left:11380;top:657452;height:450;width:2340;" filled="f" stroked="t" coordsize="21600,21600" o:gfxdata="UEsDBAoAAAAAAIdO4kAAAAAAAAAAAAAAAAAEAAAAZHJzL1BLAwQUAAAACACHTuJAbY+0NLsAAADc&#10;AAAADwAAAGRycy9kb3ducmV2LnhtbEVP32vCMBB+F/wfwgl707QbyqjG4saEPQlTYfp2NGdS2lxK&#10;k1n33y/CwLf7+H7eqry5VlypD7VnBfksA0FceV2zUXA8bKevIEJE1th6JgW/FKBcj0crLLQf+Iuu&#10;+2hECuFQoAIbY1dIGSpLDsPMd8SJu/jeYUywN1L3OKRw18rnLFtIhzWnBosdvVuqmv2PU/DRnXeb&#10;uQly8x3tqfFvw9bujFJPkzxbgoh0iw/xv/tTp/kvOdyfSRfI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Y+0NL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确定预警级别</w:t>
                        </w:r>
                      </w:p>
                    </w:txbxContent>
                  </v:textbox>
                </v:rect>
                <v:shape id="_x0000_s1026" o:spid="_x0000_s1026" o:spt="32" type="#_x0000_t32" style="position:absolute;left:13720;top:657677;height:12;width:1538;" filled="f" stroked="t" coordsize="21600,21600" o:gfxdata="UEsDBAoAAAAAAIdO4kAAAAAAAAAAAAAAAAAEAAAAZHJzL1BLAwQUAAAACACHTuJAm444Xr0AAADc&#10;AAAADwAAAGRycy9kb3ducmV2LnhtbEVPS2sCMRC+C/6HMEJvml0LS7saF6pI91KhWkqPw2bchG4m&#10;yyb10V9vCgVv8/E9Z1ldXCdONATrWUE+y0AQN15bbhV8HLbTJxAhImvsPJOCKwWoVuPREkvtz/xO&#10;p31sRQrhUKICE2NfShkaQw7DzPfEiTv6wWFMcGilHvCcwl0n51lWSIeWU4PBntaGmu/9j1MQN19X&#10;U3w2L892d3h9K+xvXdcbpR4mebYAEekS7+J/d63T/Mc5/D2TLp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jjhe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12566;top:657934;height:510;width:1;" filled="f" stroked="t" coordsize="21600,21600" o:gfxdata="UEsDBAoAAAAAAIdO4kAAAAAAAAAAAAAAAAAEAAAAZHJzL1BLAwQUAAAACACHTuJA9MKdxbwAAADc&#10;AAAADwAAAGRycy9kb3ducmV2LnhtbEVPS2sCMRC+F/wPYQRvNavCUlejoFLcSwtVEY/DZtwEN5Nl&#10;k/ror28KBW/z8T1nvry7RlypC9azgtEwA0FceW25VnDYv7++gQgRWWPjmRQ8KMBy0XuZY6H9jb/o&#10;uou1SCEcClRgYmwLKUNlyGEY+pY4cWffOYwJdrXUHd5SuGvkOMty6dByajDY0tpQddl9OwVxc3qY&#10;/FitpvZzv/3I7U9ZlhulBv1RNgMR6R6f4n93qdP8yQT+nkkXy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Cnc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_x0000_s1026" o:spid="_x0000_s1026" o:spt="1" style="position:absolute;left:15154;top:664944;height:450;width:1575;" filled="f" stroked="t" coordsize="21600,21600" o:gfxdata="UEsDBAoAAAAAAIdO4kAAAAAAAAAAAAAAAAAEAAAAZHJzL1BLAwQUAAAACACHTuJAqhf8pbwAAADc&#10;AAAADwAAAGRycy9kb3ducmV2LnhtbEVP32vCMBB+F/Y/hBv4ZlN1G1KN0skKexLmBPXtaG5JsbmU&#10;JrPuv18GA9/u4/t5q83NteJKfWg8K5hmOQji2uuGjYLDZzVZgAgRWWPrmRT8UIDN+mG0wkL7gT/o&#10;uo9GpBAOBSqwMXaFlKG25DBkviNO3JfvHcYEeyN1j0MKd62c5fmLdNhwarDY0dZSfdl/OwVv3XlX&#10;Ppsgy2O0p4t/HSq7M0qNH6f5EkSkW7yL/93vOs1/msPfM+kCuf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X/KW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jc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监测预警组</w:t>
                        </w:r>
                      </w:p>
                    </w:txbxContent>
                  </v:textbox>
                </v:rect>
                <v:rect id="_x0000_s1026" o:spid="_x0000_s1026" o:spt="1" style="position:absolute;left:12443;top:665710;height:484;width:2241;" filled="f" stroked="f" coordsize="21600,21600" o:gfxdata="UEsDBAoAAAAAAIdO4kAAAAAAAAAAAAAAAAAEAAAAZHJzL1BLAwQUAAAACACHTuJAqanOVrsAAADc&#10;AAAADwAAAGRycy9kb3ducmV2LnhtbEVPTYvCMBC9C/sfwix4EU1dwZVq9CAsW0QQ6+p5aMa22Exq&#10;k2313xtB8DaP9zmL1c1UoqXGlZYVjEcRCOLM6pJzBX+Hn+EMhPPIGivLpOBODlbLj94CY2073lOb&#10;+lyEEHYxKii8r2MpXVaQQTeyNXHgzrYx6ANscqkb7EK4qeRXFE2lwZJDQ4E1rQvKLum/UdBlu/Z0&#10;2P7K3eCUWL4m13V63CjV/xxHcxCebv4tfrkTHeZPvuH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anOV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满足相关标准要求</w:t>
                        </w:r>
                      </w:p>
                    </w:txbxContent>
                  </v:textbox>
                </v:rect>
                <v:shape id="_x0000_s1026" o:spid="_x0000_s1026" o:spt="32" type="#_x0000_t32" style="position:absolute;left:14595;top:660923;height:0;width:585;" filled="f" stroked="t" coordsize="21600,21600" o:gfxdata="UEsDBAoAAAAAAIdO4kAAAAAAAAAAAAAAAAAEAAAAZHJzL1BLAwQUAAAACACHTuJAFGegKr0AAADc&#10;AAAADwAAAGRycy9kb3ducmV2LnhtbEVPS2sCMRC+F/ofwhS8aVali12NQiviXlrwQfE4bMZNcDNZ&#10;NvHVX98UhN7m43vObHFzjbhQF6xnBcNBBoK48tpyrWC/W/UnIEJE1th4JgV3CrCYPz/NsND+yhu6&#10;bGMtUgiHAhWYGNtCylAZchgGviVO3NF3DmOCXS11h9cU7ho5yrJcOrScGgy29GGoOm3PTkFcHu4m&#10;/67e3+zXbv2Z25+yLJdK9V6G2RREpFv8Fz/cpU7zx6/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Z6A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15180;top:660694;height:450;width:1575;" filled="f" stroked="t" coordsize="21600,21600" o:gfxdata="UEsDBAoAAAAAAIdO4kAAAAAAAAAAAAAAAAAEAAAAZHJzL1BLAwQUAAAACACHTuJAJf5k0boAAADc&#10;AAAADwAAAGRycy9kb3ducmV2LnhtbEVPTYvCMBC9C/6HMII3TV10kWoUXRQ8CauCehuaMSk2k9JE&#10;6/77jbCwt3m8z5kvX64ST2pC6VnBaJiBIC68LtkoOB23gymIEJE1Vp5JwQ8FWC66nTnm2rf8Tc9D&#10;NCKFcMhRgY2xzqUMhSWHYehr4sTdfOMwJtgYqRtsU7ir5EeWfUqHJacGizV9WSruh4dTsKmv+9XE&#10;BLk6R3u5+3W7tXujVL83ymYgIr3iv/jPvdNp/ngM72fSBXLx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mTR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w:txbxContent>
                      <w:p>
                        <w:pPr>
                          <w:jc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监测预警组</w:t>
                        </w:r>
                      </w:p>
                    </w:txbxContent>
                  </v:textbox>
                </v:rect>
                <v:shape id="_x0000_s1026" o:spid="_x0000_s1026" o:spt="32" type="#_x0000_t32" style="position:absolute;left:12567;top:661159;height:630;width:0;" filled="f" stroked="t" coordsize="21600,21600" o:gfxdata="UEsDBAoAAAAAAIdO4kAAAAAAAAAAAAAAAAAEAAAAZHJzL1BLAwQUAAAACACHTuJAlSqqL7wAAADc&#10;AAAADwAAAGRycy9kb3ducmV2LnhtbEVPS2sCMRC+F/ofwgi91awWFl2NghVxLy2opXgcNuMmuJks&#10;m/jqr28Ewdt8fM+Zzq+uEWfqgvWsYNDPQBBXXluuFfzsVu8jECEia2w8k4IbBZjPXl+mWGh/4Q2d&#10;t7EWKYRDgQpMjG0hZagMOQx93xIn7uA7hzHBrpa6w0sKd40cZlkuHVpODQZb+jRUHbcnpyAu9zeT&#10;/1aLsf3erb9y+1eW5VKpt94gm4CIdI1P8cNd6jT/Ywz3Z9IFcv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qqi+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12566;top:660019;height:675;width:0;" filled="f" stroked="t" coordsize="21600,21600" o:gfxdata="UEsDBAoAAAAAAIdO4kAAAAAAAAAAAAAAAAAEAAAAZHJzL1BLAwQUAAAACACHTuJAXBZwz8AAAADc&#10;AAAADwAAAGRycy9kb3ducmV2LnhtbEWPT0vDQBDF74LfYRnBm91EJNi024AWMRcFW5Eeh+w0uzQ7&#10;G7Jr//jpnYPgbYb35r3fLJtzGNSRpuQjGyhnBSjiLlrPvYHP7cvdI6iUkS0OkcnAhRI0q+urJdY2&#10;nviDjpvcKwnhVKMBl/NYa506RwHTLI7Eou3jFDDLOvXaTniS8DDo+6KodEDP0uBwpGdH3WHzHQzk&#10;9e7iqq/uae7ft69vlf9p23ZtzO1NWSxAZTrnf/PfdWsF/0Hw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FnDP&#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32" type="#_x0000_t32" style="position:absolute;left:14573;top:659134;height:5445;width:1;" filled="f" stroked="t" coordsize="21600,21600" o:gfxdata="UEsDBAoAAAAAAIdO4kAAAAAAAAAAAAAAAAAEAAAAZHJzL1BLAwQUAAAACACHTuJAPLEY5LsAAADc&#10;AAAADwAAAGRycy9kb3ducmV2LnhtbEVPTWuDQBC9F/oflgn0VldDkopxDTRQ6C3U5NLbxB1diTsr&#10;7jbaf98tFHqbx/uc8rDYQdxp8r1jBVmSgiBunO65U3A5vz3nIHxA1jg4JgXf5OFQPT6UWGg38wfd&#10;69CJGMK+QAUmhLGQ0jeGLPrEjcSRa91kMUQ4dVJPOMdwO8h1mu6kxZ5jg8GRjoaaW/1lFbxs9KfD&#10;3ev2up1P50CtqfPTotTTKkv3IAIt4V/8537Xcf4mg99n4gWy+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LEY5L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_x0000_s1026" o:spid="_x0000_s1026" o:spt="32" type="#_x0000_t32" style="position:absolute;left:14573;top:664579;height:0;width:585;" filled="f" stroked="t" coordsize="21600,21600" o:gfxdata="UEsDBAoAAAAAAIdO4kAAAAAAAAAAAAAAAAAEAAAAZHJzL1BLAwQUAAAACACHTuJAw4hLI70AAADc&#10;AAAADwAAAGRycy9kb3ducmV2LnhtbEVPS2sCMRC+C/6HMEJvml0pS7saF6pI91KhWkqPw2bchG4m&#10;yyb10V9vCgVv8/E9Z1ldXCdONATrWUE+y0AQN15bbhV8HLbTJxAhImvsPJOCKwWoVuPREkvtz/xO&#10;p31sRQrhUKICE2NfShkaQw7DzPfEiTv6wWFMcGilHvCcwl0n51lWSIeWU4PBntaGmu/9j1MQN19X&#10;U3w2L892d3h9K+xvXdcbpR4mebYAEekS7+J/d63T/Mc5/D2TLp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iEs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14573;top:663975;height:0;width:585;" filled="f" stroked="t" coordsize="21600,21600" o:gfxdata="UEsDBAoAAAAAAIdO4kAAAAAAAAAAAAAAAAAEAAAAZHJzL1BLAwQUAAAACACHTuJAHleug7wAAADc&#10;AAAADwAAAGRycy9kb3ducmV2LnhtbEVPS2sCMRC+F/wPYYTeatY9LHY1CirSvVioluJx2Iyb4Gay&#10;bOLz1zdCobf5+J4zW9xcKy7UB+tZwXiUgSCuvbbcKPjeb94mIEJE1th6JgV3CrCYD15mWGp/5S+6&#10;7GIjUgiHEhWYGLtSylAbchhGviNO3NH3DmOCfSN1j9cU7lqZZ1khHVpODQY7WhmqT7uzUxDXh7sp&#10;furlu/3cf2wL+6iqaq3U63CcTUFEusV/8Z+70ml+nsPz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Xro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14573;top:663371;height:0;width:585;" filled="f" stroked="t" coordsize="21600,21600" o:gfxdata="UEsDBAoAAAAAAIdO4kAAAAAAAAAAAAAAAAAEAAAAZHJzL1BLAwQUAAAACACHTuJAcRsLGL0AAADc&#10;AAAADwAAAGRycy9kb3ducmV2LnhtbEVPS2sCMRC+C/6HMEJvml0LS7saF6pI91KhWkqPw2bchG4m&#10;yyb10V9vCgVv8/E9Z1ldXCdONATrWUE+y0AQN15bbhV8HLbTJxAhImvsPJOCKwWoVuPREkvtz/xO&#10;p31sRQrhUKICE2NfShkaQw7DzPfEiTv6wWFMcGilHvCcwl0n51lWSIeWU4PBntaGmu/9j1MQN19X&#10;U3w2L892d3h9K+xvXdcbpR4mebYAEekS7+J/d63T/Pkj/D2TLp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GwsY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14573;top:662767;height:0;width:585;" filled="f" stroked="t" coordsize="21600,21600" o:gfxdata="UEsDBAoAAAAAAIdO4kAAAAAAAAAAAAAAAAAEAAAAZHJzL1BLAwQUAAAACACHTuJA/vKTbL0AAADc&#10;AAAADwAAAGRycy9kb3ducmV2LnhtbEVPS2sCMRC+C/6HMEJvml0pS7saF6pI91KhWkqPw2bchG4m&#10;yyb10V9vCgVv8/E9Z1ldXCdONATrWUE+y0AQN15bbhV8HLbTJxAhImvsPJOCKwWoVuPREkvtz/xO&#10;p31sRQrhUKICE2NfShkaQw7DzPfEiTv6wWFMcGilHvCcwl0n51lWSIeWU4PBntaGmu/9j1MQN19X&#10;U3w2L892d3h9K+xvXdcbpR4mebYAEekS7+J/d63T/Pkj/D2TLp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pNs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14573;top:662164;height:0;width:585;" filled="f" stroked="t" coordsize="21600,21600" o:gfxdata="UEsDBAoAAAAAAIdO4kAAAAAAAAAAAAAAAAAEAAAAZHJzL1BLAwQUAAAACACHTuJAtoNDibwAAADc&#10;AAAADwAAAGRycy9kb3ducmV2LnhtbEVPS2sCMRC+F/wPYYTeanaFLu1qFFTEvbRQFfE4bMZNcDNZ&#10;NvHVX98UCr3Nx/ec6fzuWnGlPljPCvJRBoK49tpyo2C/W7+8gQgRWWPrmRQ8KMB8NniaYqn9jb/o&#10;uo2NSCEcSlRgYuxKKUNtyGEY+Y44cSffO4wJ9o3UPd5SuGvlOMsK6dByajDY0dJQfd5enIK4Oj5M&#10;cagX7/Zzt/ko7HdVVSulnod5NgER6R7/xX/uSqf5rzn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DQ4m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14573;top:661560;height:0;width:585;" filled="f" stroked="t" coordsize="21600,21600" o:gfxdata="UEsDBAoAAAAAAIdO4kAAAAAAAAAAAAAAAAAEAAAAZHJzL1BLAwQUAAAACACHTuJAB9SPN7wAAADc&#10;AAAADwAAAGRycy9kb3ducmV2LnhtbEVPS2sCMRC+F/ofwhS81awFF12NQivFvVhQS/E4bMZNcDNZ&#10;NvH56xtB8DYf33Om84trxIm6YD0rGPQzEMSV15ZrBb/b7/cRiBCRNTaeScGVAsxnry9TLLQ/85pO&#10;m1iLFMKhQAUmxraQMlSGHIa+b4kTt/edw5hgV0vd4TmFu0Z+ZFkuHVpODQZb+jJUHTZHpyAudleT&#10;/1WfY/uzXa5yeyvLcqFU722QTUBEusSn+OEudZqfD+H+TLpAz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Ujz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14573;top:660341;height:0;width:585;" filled="f" stroked="t" coordsize="21600,21600" o:gfxdata="UEsDBAoAAAAAAIdO4kAAAAAAAAAAAAAAAAAEAAAAZHJzL1BLAwQUAAAACACHTuJARlHd/r0AAADc&#10;AAAADwAAAGRycy9kb3ducmV2LnhtbEVPS2sCMRC+C/6HMEJvml2hS7saF6pI91KhWkqPw2bchG4m&#10;yyb10V9vCgVv8/E9Z1ldXCdONATrWUE+y0AQN15bbhV8HLbTJxAhImvsPJOCKwWoVuPREkvtz/xO&#10;p31sRQrhUKICE2NfShkaQw7DzPfEiTv6wWFMcGilHvCcwl0n51lWSIeWU4PBntaGmu/9j1MQN19X&#10;U3w2L892d3h9K+xvXdcbpR4mebYAEekS7+J/d63T/Mc5/D2TLp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Ud3+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14573;top:659737;height:0;width:585;" filled="f" stroked="t" coordsize="21600,21600" o:gfxdata="UEsDBAoAAAAAAIdO4kAAAAAAAAAAAAAAAAAEAAAAZHJzL1BLAwQUAAAACACHTuJAJ7nqFMAAAADc&#10;AAAADwAAAGRycy9kb3ducmV2LnhtbEWPT0vDQBDF74LfYRnBm91EMNi024AWMRcFW5Eeh+w0uzQ7&#10;G7Jr//jpnYPgbYb35r3fLJtzGNSRpuQjGyhnBSjiLlrPvYHP7cvdI6iUkS0OkcnAhRI0q+urJdY2&#10;nviDjpvcKwnhVKMBl/NYa506RwHTLI7Eou3jFDDLOvXaTniS8DDo+6KodEDP0uBwpGdH3WHzHQzk&#10;9e7iqq/uae7ft69vlf9p23ZtzO1NWSxAZTrnf/PfdWsF/0Fo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ueo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32" type="#_x0000_t32" style="position:absolute;left:14573;top:659134;height:0;width:585;" filled="f" stroked="t" coordsize="21600,21600" o:gfxdata="UEsDBAoAAAAAAIdO4kAAAAAAAAAAAAAAAAAEAAAAZHJzL1BLAwQUAAAACACHTuJApvTgEb0AAADc&#10;AAAADwAAAGRycy9kb3ducmV2LnhtbEVPS2sCMRC+F/ofwhS8aVaxi12NQiviXlrwQfE4bMZNcDNZ&#10;NvHVX98UhN7m43vObHFzjbhQF6xnBcNBBoK48tpyrWC/W/UnIEJE1th4JgV3CrCYPz/NsND+yhu6&#10;bGMtUgiHAhWYGNtCylAZchgGviVO3NF3DmOCXS11h9cU7ho5yrJcOrScGgy29GGoOm3PTkFcHu4m&#10;/67e3+zXbv2Z25+yLJdK9V6G2RREpFv8Fz/cpU7zX8f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9OAR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15158;top:664339;height:450;width:1575;" filled="f" stroked="t" coordsize="21600,21600" o:gfxdata="UEsDBAoAAAAAAIdO4kAAAAAAAAAAAAAAAAAEAAAAZHJzL1BLAwQUAAAACACHTuJAfjybKboAAADc&#10;AAAADwAAAGRycy9kb3ducmV2LnhtbEVPS4vCMBC+C/sfwix407SCItUo7qKwJ8EHuHsbmjEpNpPS&#10;ZK3+eyMI3ubje858eXO1uFIbKs8K8mEGgrj0umKj4HjYDKYgQkTWWHsmBXcKsFx89OZYaN/xjq77&#10;aEQK4VCgAhtjU0gZSksOw9A3xIk7+9ZhTLA1UrfYpXBXy1GWTaTDilODxYa+LZWX/b9TsG7+tqux&#10;CXJ1ivb34r+6jd0apfqfeTYDEekW3+KX+0en+ZMcns+kC+T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Jsp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w:txbxContent>
                      <w:p>
                        <w:pPr>
                          <w:jc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新闻发布组</w:t>
                        </w:r>
                      </w:p>
                    </w:txbxContent>
                  </v:textbox>
                </v:rect>
                <v:rect id="_x0000_s1026" o:spid="_x0000_s1026" o:spt="1" style="position:absolute;left:15158;top:663737;height:450;width:1575;" filled="f" stroked="t" coordsize="21600,21600" o:gfxdata="UEsDBAoAAAAAAIdO4kAAAAAAAAAAAAAAAAAEAAAAZHJzL1BLAwQUAAAACACHTuJApLNu1L4AAADc&#10;AAAADwAAAGRycy9kb3ducmV2LnhtbEWPQWsCMRCF7wX/QxjBWzdr0VJWo2ip0JNQLbTehs2YLG4m&#10;yyZ17b93DoXeZnhv3vtmub6FVl2pT01kA9OiBEVcR9uwM/B53D2+gEoZ2WIbmQz8UoL1avSwxMrG&#10;gT/oeshOSQinCg34nLtK61R7CpiK2BGLdo59wCxr77TtcZDw0OqnsnzWARuWBo8dvXqqL4efYOCt&#10;O+03c5f05iv770vcDju/d8ZMxtNyASrTLf+b/67freDPhFaekQn06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LNu1L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jc w:val="center"/>
                          <w:rPr>
                            <w:rFonts w:eastAsia="宋体"/>
                          </w:rPr>
                        </w:pPr>
                        <w:r>
                          <w:rPr>
                            <w:rFonts w:hint="eastAsia" w:ascii="仿宋_GB2312" w:hAnsi="仿宋_GB2312" w:eastAsia="仿宋_GB2312" w:cs="仿宋_GB2312"/>
                            <w:b w:val="0"/>
                            <w:bCs/>
                            <w:color w:val="auto"/>
                            <w:sz w:val="24"/>
                            <w:szCs w:val="24"/>
                            <w:highlight w:val="none"/>
                            <w:lang w:val="en-US" w:eastAsia="zh-CN"/>
                          </w:rPr>
                          <w:t>善后处置组</w:t>
                        </w:r>
                      </w:p>
                    </w:txbxContent>
                  </v:textbox>
                </v:rect>
                <v:rect id="_x0000_s1026" o:spid="_x0000_s1026" o:spt="1" style="position:absolute;left:15158;top:663135;height:450;width:1575;" filled="f" stroked="t" coordsize="21600,21600" o:gfxdata="UEsDBAoAAAAAAIdO4kAAAAAAAAAAAAAAAAAEAAAAZHJzL1BLAwQUAAAACACHTuJAumBfPbwAAADc&#10;AAAADwAAAGRycy9kb3ducmV2LnhtbEVP32vCMBB+H/g/hBv4NlOHE6nGUseEPRWswubb0dySYnMp&#10;TWbdf78Ig73dx/fzNsXNdeJKQ2g9K5jPMhDEjdctGwWn4/5pBSJEZI2dZ1LwQwGK7eRhg7n2Ix/o&#10;WkcjUgiHHBXYGPtcytBYchhmvidO3JcfHMYEByP1gGMKd518zrKldNhyarDY06ul5lJ/OwVv/bkq&#10;X0yQ5Ue0nxe/G/e2MkpNH+fZGkSkW/wX/7nfdZq/WML9mXSB3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gXz2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jc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事故调查组</w:t>
                        </w:r>
                      </w:p>
                    </w:txbxContent>
                  </v:textbox>
                </v:rect>
                <v:rect id="_x0000_s1026" o:spid="_x0000_s1026" o:spt="1" style="position:absolute;left:15158;top:662533;height:450;width:1575;" filled="f" stroked="t" coordsize="21600,21600" o:gfxdata="UEsDBAoAAAAAAIdO4kAAAAAAAAAAAAAAAAAEAAAAZHJzL1BLAwQUAAAACACHTuJA1Sz6prwAAADc&#10;AAAADwAAAGRycy9kb3ducmV2LnhtbEVP32vCMBB+F/Y/hBv4ZlPFbVKN0skKexLmBPXtaG5JsbmU&#10;JrPuv18GA9/u4/t5q83NteJKfWg8K5hmOQji2uuGjYLDZzVZgAgRWWPrmRT8UIDN+mG0wkL7gT/o&#10;uo9GpBAOBSqwMXaFlKG25DBkviNO3JfvHcYEeyN1j0MKd62c5fmzdNhwarDY0dZSfdl/OwVv3XlX&#10;Ppkgy2O0p4t/HSq7M0qNH6f5EkSkW7yL/93vOs2fv8DfM+kCuf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Us+qa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jc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后勤保障组</w:t>
                        </w:r>
                      </w:p>
                    </w:txbxContent>
                  </v:textbox>
                </v:rect>
                <v:rect id="_x0000_s1026" o:spid="_x0000_s1026" o:spt="1" style="position:absolute;left:15158;top:661931;height:450;width:1575;" filled="f" stroked="t" coordsize="21600,21600" o:gfxdata="UEsDBAoAAAAAAIdO4kAAAAAAAAAAAAAAAAAEAAAAZHJzL1BLAwQUAAAACACHTuJAnpmmxrwAAADc&#10;AAAADwAAAGRycy9kb3ducmV2LnhtbEVPyWrDMBC9F/IPYgq5NXIKcYMTxTilgZ4MWaDNbbCmkok1&#10;MpYap39fFQK9zeOtsy5vrhNXGkLrWcF8loEgbrxu2Sg4HXdPSxAhImvsPJOCHwpQbiYPayy0H3lP&#10;10M0IoVwKFCBjbEvpAyNJYdh5nvixH35wWFMcDBSDzimcNfJ5yzLpcOWU4PFnl4tNZfDt1Pw1p/r&#10;amGCrD6i/bz47biztVFq+jjPViAi3eK/+O5+12l+/gJ/z6QL5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6Zpsa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jc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社会维稳组</w:t>
                        </w:r>
                      </w:p>
                    </w:txbxContent>
                  </v:textbox>
                </v:rect>
                <v:rect id="_x0000_s1026" o:spid="_x0000_s1026" o:spt="1" style="position:absolute;left:15158;top:661329;height:450;width:1575;" filled="f" stroked="t" coordsize="21600,21600" o:gfxdata="UEsDBAoAAAAAAIdO4kAAAAAAAAAAAAAAAAAEAAAAZHJzL1BLAwQUAAAACACHTuJAy//LT7wAAADc&#10;AAAADwAAAGRycy9kb3ducmV2LnhtbEVP32vCMBB+F/Y/hBv4ZlPFjVmN0skKexLmBPXtaG5JsbmU&#10;JrPuv18GA9/u4/t5q83NteJKfWg8K5hmOQji2uuGjYLDZzV5AREissbWMyn4oQCb9cNohYX2A3/Q&#10;dR+NSCEcClRgY+wKKUNtyWHIfEecuC/fO4wJ9kbqHocU7lo5y/Nn6bDh1GCxo62l+rL/dgreuvOu&#10;fDJBlsdoTxf/OlR2Z5QaP07zJYhIt3gX/7vfdZo/X8DfM+kCuf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y0+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jc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医学救援组</w:t>
                        </w:r>
                      </w:p>
                    </w:txbxContent>
                  </v:textbox>
                </v:rect>
                <v:rect id="_x0000_s1026" o:spid="_x0000_s1026" o:spt="1" style="position:absolute;left:15158;top:660112;height:450;width:1575;" filled="f" stroked="t" coordsize="21600,21600" o:gfxdata="UEsDBAoAAAAAAIdO4kAAAAAAAAAAAAAAAAAEAAAAZHJzL1BLAwQUAAAACACHTuJA3xz0D70AAADc&#10;AAAADwAAAGRycy9kb3ducmV2LnhtbEWPQWsCMRCF7wX/QxjBW80qWMrWKFYUPAm1gvY2bKbJ4may&#10;bKJr/33nIHib4b1575v58h4adaMu1ZENTMYFKOIq2pqdgeP39vUdVMrIFpvIZOCPEiwXg5c5ljb2&#10;/EW3Q3ZKQjiVaMDn3JZap8pTwDSOLbFov7ELmGXtnLYd9hIeGj0tijcdsGZp8NjS2lN1OVyDgU37&#10;s1/NXNKrU/bnS/zst37vjBkNJ8UHqEz3/DQ/rndW8GeCL8/IBHr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HPQP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jc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专家技术组</w:t>
                        </w:r>
                      </w:p>
                    </w:txbxContent>
                  </v:textbox>
                </v:rect>
                <v:rect id="_x0000_s1026" o:spid="_x0000_s1026" o:spt="1" style="position:absolute;left:15158;top:658909;height:450;width:1575;" filled="f" stroked="t" coordsize="21600,21600" o:gfxdata="UEsDBAoAAAAAAIdO4kAAAAAAAAAAAAAAAAAEAAAAZHJzL1BLAwQUAAAACACHTuJAUPVse7oAAADc&#10;AAAADwAAAGRycy9kb3ducmV2LnhtbEVPTYvCMBC9C/6HMII3TV3QlWoUXRQ8CauCehuaMSk2k9JE&#10;6/77jbCwt3m8z5kvX64ST2pC6VnBaJiBIC68LtkoOB23gymIEJE1Vp5JwQ8FWC66nTnm2rf8Tc9D&#10;NCKFcMhRgY2xzqUMhSWHYehr4sTdfOMwJtgYqRtsU7ir5EeWTaTDklODxZq+LBX3w8Mp2NTX/Wps&#10;glydo73c/brd2r1Rqt8bZTMQkV7xX/zn3uk0f/wJ72fSBXLx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9Wx7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w:txbxContent>
                      <w:p>
                        <w:pPr>
                          <w:jc w:val="center"/>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综合协调组</w:t>
                        </w:r>
                      </w:p>
                    </w:txbxContent>
                  </v:textbox>
                </v:rect>
                <v:rect id="_x0000_s1026" o:spid="_x0000_s1026" o:spt="1" style="position:absolute;left:15158;top:659510;height:450;width:1575;" filled="f" stroked="t" coordsize="21600,21600" o:gfxdata="UEsDBAoAAAAAAIdO4kAAAAAAAAAAAAAAAAAEAAAAZHJzL1BLAwQUAAAACACHTuJAEXA+sr0AAADc&#10;AAAADwAAAGRycy9kb3ducmV2LnhtbEWPQWsCMRCF7wX/QxjBW80qKGVrFCsKnoRaQXsbNtNkcTNZ&#10;NtHVf985FHqb4b1575vF6hEadacu1ZENTMYFKOIq2pqdgdPX7vUNVMrIFpvIZOBJCVbLwcsCSxt7&#10;/qT7MTslIZxKNOBzbkutU+UpYBrHlli0n9gFzLJ2TtsOewkPjZ4WxVwHrFkaPLa08VRdj7dgYNt+&#10;H9Yzl/T6nP3lGj/6nT84Y0bDSfEOKtMj/5v/rvdW8OeCL8/IBHr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cD6y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jc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应急处置组</w:t>
                        </w:r>
                      </w:p>
                    </w:txbxContent>
                  </v:textbox>
                </v:rect>
                <v:shape id="_x0000_s1026" o:spid="_x0000_s1026" o:spt="32" type="#_x0000_t32" style="position:absolute;left:9593;top:660019;height:480;width:1;" filled="f" stroked="t" coordsize="21600,21600" o:gfxdata="UEsDBAoAAAAAAIdO4kAAAAAAAAAAAAAAAAAEAAAAZHJzL1BLAwQUAAAACACHTuJAiD0XQ7sAAADc&#10;AAAADwAAAGRycy9kb3ducmV2LnhtbEVPS2sCMRC+F/wPYQRvNauHxW6Ngoq4Fws+kB6HzXQTupks&#10;m/j89Y0g9DYf33Om85trxIW6YD0rGA0zEMSV15ZrBcfD+n0CIkRkjY1nUnCnAPNZ722KhfZX3tFl&#10;H2uRQjgUqMDE2BZShsqQwzD0LXHifnznMCbY1VJ3eE3hrpHjLMulQ8upwWBLS0PV7/7sFMTV993k&#10;p2rxYb8Om21uH2VZrpQa9EfZJ4hIt/gvfrlLnebnY3g+ky6Q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D0XQ7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_x0000_s1026" o:spid="_x0000_s1026" o:spt="1" style="position:absolute;left:8393;top:660499;height:1432;width:2370;" filled="f" stroked="t" coordsize="21600,21600" o:gfxdata="UEsDBAoAAAAAAIdO4kAAAAAAAAAAAAAAAAAEAAAAZHJzL1BLAwQUAAAACACHTuJAL85qeLwAAADc&#10;AAAADwAAAGRycy9kb3ducmV2LnhtbEVPyWrDMBC9F/IPYgq5NXIaXIITxTilgZ4MWaDNbbCmkok1&#10;MpYap39fFQK9zeOtsy5vrhNXGkLrWcF8loEgbrxu2Sg4HXdPSxAhImvsPJOCHwpQbiYPayy0H3lP&#10;10M0IoVwKFCBjbEvpAyNJYdh5nvixH35wWFMcDBSDzimcNfJ5yx7kQ5bTg0We3q11FwO307BW3+u&#10;q9wEWX1E+3nx23Fna6PU9HGerUBEusV/8d39rtP8fAF/z6QL5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ani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州文体广电旅游局组织广播电视台及时向社会公众发布突发环境事件预警信息</w:t>
                        </w:r>
                      </w:p>
                    </w:txbxContent>
                  </v:textbox>
                </v:rect>
                <v:rect id="_x0000_s1026" o:spid="_x0000_s1026" o:spt="1" style="position:absolute;left:8708;top:659569;height:450;width:1710;" filled="f" stroked="t" coordsize="21600,21600" o:gfxdata="UEsDBAoAAAAAAIdO4kAAAAAAAAAAAAAAAAAEAAAAZHJzL1BLAwQUAAAACACHTuJAz2tXl7sAAADc&#10;AAAADwAAAGRycy9kb3ducmV2LnhtbEVP32vCMBB+H/g/hBP2tqYOKqM2isqEPQlzg+nb0ZxJsbmU&#10;Jmu7/34RBnu7j+/nVZvJtWKgPjSeFSyyHARx7XXDRsHnx+HpBUSIyBpbz6TghwJs1rOHCkvtR36n&#10;4RSNSCEcSlRgY+xKKUNtyWHIfEecuKvvHcYEeyN1j2MKd618zvOldNhwarDY0d5SfTt9OwWv3eW4&#10;LUyQ269ozze/Gw/2aJR6nC/yFYhIU/wX/7nfdJpfFHB/Jl0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2tXl7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州委宣传部</w:t>
                        </w:r>
                      </w:p>
                    </w:txbxContent>
                  </v:textbox>
                </v:rect>
                <v:rect id="_x0000_s1026" o:spid="_x0000_s1026" o:spt="1" style="position:absolute;left:9578;top:660034;height:450;width:810;" filled="f" stroked="f" coordsize="21600,21600" o:gfxdata="UEsDBAoAAAAAAIdO4kAAAAAAAAAAAAAAAAAEAAAAZHJzL1BLAwQUAAAACACHTuJAxSHnSLsAAADc&#10;AAAADwAAAGRycy9kb3ducmV2LnhtbEVPTYvCMBC9C/sfwix4kTVVQZau0YOwbBFBbF3PQzO2xWZS&#10;m9jqvzeC4G0e73MWq5upRUetqywrmIwjEMS51RUXCg7Z79c3COeRNdaWScGdHKyWH4MFxtr2vKcu&#10;9YUIIexiVFB638RSurwkg25sG+LAnWxr0AfYFlK32IdwU8tpFM2lwYpDQ4kNrUvKz+nVKOjzXXfM&#10;tn9yNzomli/JZZ3+b5Qafk6iHxCebv4tfrkTHebPZ/B8Jlw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SHnS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eastAsia="宋体"/>
                          </w:rPr>
                        </w:pPr>
                        <w:r>
                          <w:rPr>
                            <w:rFonts w:hint="eastAsia" w:ascii="仿宋_GB2312" w:hAnsi="仿宋_GB2312" w:eastAsia="仿宋_GB2312" w:cs="仿宋_GB2312"/>
                            <w:b w:val="0"/>
                            <w:bCs/>
                            <w:color w:val="auto"/>
                            <w:sz w:val="24"/>
                            <w:szCs w:val="24"/>
                            <w:highlight w:val="none"/>
                          </w:rPr>
                          <w:t>协调</w:t>
                        </w:r>
                      </w:p>
                    </w:txbxContent>
                  </v:textbox>
                </v:rect>
                <v:shape id="_x0000_s1026" o:spid="_x0000_s1026" o:spt="32" type="#_x0000_t32" style="position:absolute;left:10343;top:662028;height:1;width:1395;" filled="f" stroked="t" coordsize="21600,21600" o:gfxdata="UEsDBAoAAAAAAIdO4kAAAAAAAAAAAAAAAAAEAAAAZHJzL1BLAwQUAAAACACHTuJAOWrb/bwAAADc&#10;AAAADwAAAGRycy9kb3ducmV2LnhtbEVPS2sCMRC+F/ofwhS81awFF12NQivFvVhQS/E4bMZNcDNZ&#10;NvH56xtB8DYf33Om84trxIm6YD0rGPQzEMSV15ZrBb/b7/cRiBCRNTaeScGVAsxnry9TLLQ/85pO&#10;m1iLFMKhQAUmxraQMlSGHIa+b4kTt/edw5hgV0vd4TmFu0Z+ZFkuHVpODQZb+jJUHTZHpyAudleT&#10;/1WfY/uzXa5yeyvLcqFU722QTUBEusSn+OEudZo/zOH+TLpAz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q2/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10343;top:662029;flip:y;height:3323;width:0;" filled="f" stroked="t" coordsize="21600,21600" o:gfxdata="UEsDBAoAAAAAAIdO4kAAAAAAAAAAAAAAAAAEAAAAZHJzL1BLAwQUAAAACACHTuJAe+Ls77oAAADc&#10;AAAADwAAAGRycy9kb3ducmV2LnhtbEVPS4vCMBC+L/gfwgjetqmLz2r0IOziQQq6eh+asa02k9pk&#10;W/33RhD2Nh/fc5bru6lES40rLSsYRjEI4szqknMFx9/vzxkI55E1VpZJwYMcrFe9jyUm2na8p/bg&#10;cxFC2CWooPC+TqR0WUEGXWRr4sCdbWPQB9jkUjfYhXBTya84nkiDJYeGAmvaFJRdD39GwY2nj9NI&#10;trNLmvrJz3aXM6WdUoP+MF6A8HT3/+K3e6vD/PEcXs+EC+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4uzv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_x0000_s1026" o:spid="_x0000_s1026" o:spt="32" type="#_x0000_t32" style="position:absolute;left:14439;top:665794;height:0;width:719;" filled="f" stroked="t" coordsize="21600,21600" o:gfxdata="UEsDBAoAAAAAAIdO4kAAAAAAAAAAAAAAAAAEAAAAZHJzL1BLAwQUAAAACACHTuJA4qfSXroAAADc&#10;AAAADwAAAGRycy9kb3ducmV2LnhtbEVPTYvCMBC9C/6HMMJeRJPKKlqNsiwsrEet4HVoxrbaTEoT&#10;reuvNwuCt3m8z1lt7rYWN2p95VhDMlYgiHNnKi40HLKf0RyED8gGa8ek4Y88bNb93gpT4zre0W0f&#10;ChFD2KeooQyhSaX0eUkW/dg1xJE7udZiiLAtpGmxi+G2lhOlZtJixbGhxIa+S8ov+6vVQP46TdTX&#10;whaH7aMbHiePc9dkWn8MErUEEege3uKX+9fE+bNP+H8mXiD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p9Je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_x0000_s1026" o:spid="_x0000_s1026" o:spt="32" type="#_x0000_t32" style="position:absolute;left:13958;top:665174;flip:x;height:0;width:1222;" filled="f" stroked="t" coordsize="21600,21600" o:gfxdata="UEsDBAoAAAAAAIdO4kAAAAAAAAAAAAAAAAAEAAAAZHJzL1BLAwQUAAAACACHTuJAYGMfoLwAAADc&#10;AAAADwAAAGRycy9kb3ducmV2LnhtbEVPS4vCMBC+C/sfwgh7EU0VXUo1elhfexHZqvehGdtiMylN&#10;Vtt/bxYEb/PxPWexak0l7tS40rKC8SgCQZxZXXKu4HzaDmMQziNrrCyTgo4crJYfvQUm2j74l+6p&#10;z0UIYZeggsL7OpHSZQUZdCNbEwfuahuDPsAml7rBRwg3lZxE0Zc0WHJoKLCm74KyW/pnFKzT42x7&#10;GZzbSZftD+kuvh252yj12R9HcxCeWv8Wv9w/OsyfzuD/mXCB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jH6C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_x0000_s1026" o:spid="_x0000_s1026" o:spt="1" style="position:absolute;left:15180;top:665564;height:450;width:1553;" filled="f" stroked="t" coordsize="21600,21600" o:gfxdata="UEsDBAoAAAAAAIdO4kAAAAAAAAAAAAAAAAAEAAAAZHJzL1BLAwQUAAAACACHTuJA8dUDXbsAAADc&#10;AAAADwAAAGRycy9kb3ducmV2LnhtbEVP32vCMBB+H/g/hBN8W1MHllEbRWXCnoS5wfTtaM6k2FxK&#10;k7Xdf78MBnu7j+/nVdvJtWKgPjSeFSyzHARx7XXDRsHH+/HxGUSIyBpbz6TgmwJsN7OHCkvtR36j&#10;4RyNSCEcSlRgY+xKKUNtyWHIfEecuJvvHcYEeyN1j2MKd618yvNCOmw4NVjs6GCpvp+/nIKX7nra&#10;rUyQu89oL3e/H4/2ZJRazJf5GkSkKf6L/9yvOs0vCvh9Jl0gN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dUDXb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pPr>
                          <w:jc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专家技术组</w:t>
                        </w:r>
                      </w:p>
                    </w:txbxContent>
                  </v:textbox>
                </v:rect>
                <v:shape id="_x0000_s1026" o:spid="_x0000_s1026" o:spt="32" type="#_x0000_t32" style="position:absolute;left:14439;top:665177;flip:y;height:617;width:0;" filled="f" stroked="t" coordsize="21600,21600" o:gfxdata="UEsDBAoAAAAAAIdO4kAAAAAAAAAAAAAAAAAEAAAAZHJzL1BLAwQUAAAACACHTuJA81tkxrsAAADc&#10;AAAADwAAAGRycy9kb3ducmV2LnhtbEVPTWvCQBC9C/6HZYTedJNSosRsPAgtHkqgqd6H7JhEs7Np&#10;dpvov+8KQm/zeJ+T7W6mEyMNrrWsIF5FIIgrq1uuFRy/35cbEM4ja+wsk4I7Odjl81mGqbYTf9FY&#10;+lqEEHYpKmi871MpXdWQQbeyPXHgznYw6AMcaqkHnEK46eRrFCXSYMuhocGe9g1V1/LXKPjh9f30&#10;JsfNpSh88nH4rJmKSamXRRxtQXi6+X/x033QYX68hscz4QKZ/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1tkx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32" type="#_x0000_t32" style="position:absolute;left:13448;top:662028;height:1;width:1140;" filled="f" stroked="t" coordsize="21600,21600" o:gfxdata="UEsDBAoAAAAAAIdO4kAAAAAAAAAAAAAAAAAEAAAAZHJzL1BLAwQUAAAACACHTuJA0DtkPrwAAADc&#10;AAAADwAAAGRycy9kb3ducmV2LnhtbEVPyWrDMBC9F/oPYgq9NbJzMI0bxdCaUF8SaFJKj4M1sUSs&#10;kbGU9eujQiG3ebx15tXZ9eJIY7CeFeSTDARx67XlTsH3dvnyCiJEZI29Z1JwoQDV4vFhjqX2J/6i&#10;4yZ2IoVwKFGBiXEopQytIYdh4gfixO386DAmOHZSj3hK4a6X0ywrpEPLqcHgQB+G2v3m4BTE+vdi&#10;ip/2fWbX289VYa9N09RKPT/l2RuISOd4F/+7G53m51P4e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7ZD6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10418;top:659780;flip:x;height:0;width:930;" filled="f" stroked="t" coordsize="21600,21600" o:gfxdata="UEsDBAoAAAAAAIdO4kAAAAAAAAAAAAAAAAAEAAAAZHJzL1BLAwQUAAAACACHTuJAXWt2Or4AAADc&#10;AAAADwAAAGRycy9kb3ducmV2LnhtbEVPS2sCMRC+C/6HMIVelpqsUClbo4eCqBQKPlrobdhMN0s3&#10;k3UTd/XfNwXB23x8z5kvL64RPXWh9qwhnygQxKU3NVcajofV0wuIEJENNp5Jw5UCLBfj0RwL4wfe&#10;Ub+PlUghHArUYGNsCylDaclhmPiWOHE/vnMYE+wqaTocUrhr5FSpmXRYc2qw2NKbpfJ3f3Ya1Pfn&#10;6X1d973Nruvs9JFtd8NXq/XjQ65eQUS6xLv45t6YND9/hv9n0gVy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t2Or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shape>
                <v:rect id="_x0000_s1026" o:spid="_x0000_s1026" o:spt="1" style="position:absolute;left:11903;top:667055;height:450;width:1275;" filled="f" stroked="t" coordsize="21600,21600" o:gfxdata="UEsDBAoAAAAAAIdO4kAAAAAAAAAAAAAAAAAEAAAAZHJzL1BLAwQUAAAACACHTuJAPH1FZboAAADc&#10;AAAADwAAAGRycy9kb3ducmV2LnhtbEVPTWsCMRC9F/ofwhR6q4mKUlaj2KLQk6AtVG/DZkwWN5Nl&#10;E13990YQvM3jfc50fvG1OFMbq8Aa+j0FgrgMpmKr4e939fEJIiZkg3Vg0nClCPPZ68sUCxM63tB5&#10;m6zIIRwL1OBSagopY+nIY+yFhjhzh9B6TBm2VpoWuxzuazlQaiw9VpwbHDb07ag8bk9ew7LZrxcj&#10;G+XiP7ndMXx1K7e2Wr+/9dUERKJLeoof7h+T56sh3J/JF8jZ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fUVl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w:txbxContent>
                      <w:p>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应急终止</w:t>
                        </w:r>
                      </w:p>
                    </w:txbxContent>
                  </v:textbox>
                </v:rect>
                <v:shape id="_x0000_s1026" o:spid="_x0000_s1026" o:spt="32" type="#_x0000_t32" style="position:absolute;left:12563;top:666587;height:468;width:1;" filled="f" stroked="t" coordsize="21600,21600" o:gfxdata="UEsDBAoAAAAAAIdO4kAAAAAAAAAAAAAAAAAEAAAAZHJzL1BLAwQUAAAACACHTuJAIOn6Sb0AAADc&#10;AAAADwAAAGRycy9kb3ducmV2LnhtbEVPyWrDMBC9F/IPYgq9NbJ7MI0bxZCaUF8aaBJCjoM1tUSs&#10;kbHULP36qFDIbR5vnXl1cb040RisZwX5NANB3HptuVOw266eX0GEiKyx90wKrhSgWkwe5lhqf+Yv&#10;Om1iJ1IIhxIVmBiHUsrQGnIYpn4gTty3Hx3GBMdO6hHPKdz18iXLCunQcmowONC7ofa4+XEKYn24&#10;mmLfLmd2vf34LOxv0zS1Uk+PefYGItIl3sX/7kan+XkOf8+kC+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6fp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11123;top:664955;height:750;width:2835;" filled="f" stroked="t" coordsize="21600,21600" o:gfxdata="UEsDBAoAAAAAAIdO4kAAAAAAAAAAAAAAAAAEAAAAZHJzL1BLAwQUAAAACACHTuJAtwBByb0AAADc&#10;AAAADwAAAGRycy9kb3ducmV2LnhtbEWPQWsCMRCF7wX/Q5iCt5pdwSJbo1hR8CRUC9XbsJkmi5vJ&#10;somu/fedQ6G3Gd6b975ZrB6hVXfqUxPZQDkpQBHX0TbsDHyedi9zUCkjW2wjk4EfSrBajp4WWNk4&#10;8Afdj9kpCeFUoQGfc1dpnWpPAdMkdsSifcc+YJa1d9r2OEh4aPW0KF51wIalwWNHG0/19XgLBrbd&#10;5bCeuaTXX9mfr/F92PmDM2b8XBZvoDI98r/573pvBb8UWnlGJt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AEHJ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州生态环境安全应急指挥部办公室</w:t>
                        </w:r>
                      </w:p>
                    </w:txbxContent>
                  </v:textbox>
                </v:rect>
                <v:shape id="_x0000_s1026" o:spid="_x0000_s1026" o:spt="32" type="#_x0000_t32" style="position:absolute;left:13178;top:667259;height:1;width:1125;" filled="f" stroked="t" coordsize="21600,21600" o:gfxdata="UEsDBAoAAAAAAIdO4kAAAAAAAAAAAAAAAAAEAAAAZHJzL1BLAwQUAAAACACHTuJAVeLy47wAAADc&#10;AAAADwAAAGRycy9kb3ducmV2LnhtbEVPS2sCMRC+C/0PYQq9aaKHpW6NQivSvSjULaXHYTPdhG4m&#10;yyY+f70pFLzNx/ecxersO3GkIbrAGqYTBYK4CcZxq+Gz3oyfQcSEbLALTBouFGG1fBgtsDThxB90&#10;3KdW5BCOJWqwKfWllLGx5DFOQk+cuZ8weEwZDq00A55yuO/kTKlCenScGyz29Gap+d0fvIa0/r7Y&#10;4qt5nbtd/b4t3LWqqrXWT49T9QIi0Tndxf/uyuT5agZ/z+QL5P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i8u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12563;top:664099;height:840;width:2;" filled="f" stroked="t" coordsize="21600,21600" o:gfxdata="UEsDBAoAAAAAAIdO4kAAAAAAAAAAAAAAAAAEAAAAZHJzL1BLAwQUAAAACACHTuJAv3fBpbwAAADc&#10;AAAADwAAAGRycy9kb3ducmV2LnhtbEVPS2sCMRC+F/wPYYTeanYtLO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3wa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12563;top:662239;height:480;width:1;" filled="f" stroked="t" coordsize="21600,21600" o:gfxdata="UEsDBAoAAAAAAIdO4kAAAAAAAAAAAAAAAAAEAAAAZHJzL1BLAwQUAAAACACHTuJA7oUw9LwAAADc&#10;AAAADwAAAGRycy9kb3ducmV2LnhtbEVPyWrDMBC9F/oPYgq9NbJzMI0bxdCaUF8SaFJKj4M1sUSs&#10;kbGU9eujQiG3ebx15tXZ9eJIY7CeFeSTDARx67XlTsH3dvnyCiJEZI29Z1JwoQDV4vFhjqX2J/6i&#10;4yZ2IoVwKFGBiXEopQytIYdh4gfixO386DAmOHZSj3hK4a6X0ywrpEPLqcHgQB+G2v3m4BTE+vdi&#10;ip/2fWbX289VYa9N09RKPT/l2RuISOd4F/+7G53mT3P4e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FMP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_x0000_s1026" o:spid="_x0000_s1026" o:spt="1" style="position:absolute;left:14303;top:667055;height:450;width:1275;" filled="f" stroked="t" coordsize="21600,21600" o:gfxdata="UEsDBAoAAAAAAIdO4kAAAAAAAAAAAAAAAAAEAAAAZHJzL1BLAwQUAAAACACHTuJAqdNwILoAAADc&#10;AAAADwAAAGRycy9kb3ducmV2LnhtbEVPS4vCMBC+C/sfwix407SCItUo7qKwJ8EHuHsbmjEpNpPS&#10;ZK3+eyMI3ubje858eXO1uFIbKs8K8mEGgrj0umKj4HjYDKYgQkTWWHsmBXcKsFx89OZYaN/xjq77&#10;aEQK4VCgAhtjU0gZSksOw9A3xIk7+9ZhTLA1UrfYpXBXy1GWTaTDilODxYa+LZWX/b9TsG7+tqux&#10;CXJ1ivb34r+6jd0apfqfeTYDEekW3+KX+0en+fkEns+kC+T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03Ag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w:txbxContent>
                      <w:p>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总结评估</w:t>
                        </w:r>
                      </w:p>
                    </w:txbxContent>
                  </v:textbox>
                </v:rect>
                <v:rect id="_x0000_s1026" o:spid="_x0000_s1026" o:spt="1" style="position:absolute;left:10900;top:666137;height:450;width:3294;" filled="f" stroked="t" coordsize="21600,21600" o:gfxdata="UEsDBAoAAAAAAIdO4kAAAAAAAAAAAAAAAAAEAAAAZHJzL1BLAwQUAAAACACHTuJAMtnXFL0AAADc&#10;AAAADwAAAGRycy9kb3ducmV2LnhtbEWPQWsCMRCF74X+hzCF3mqi0CKrUWxR6EmoCra3YTMmi5vJ&#10;skld++87B8HbDO/Ne9/Ml9fYqgv1uUlsYTwyoIjr5Br2Fg77zcsUVC7IDtvEZOGPMiwXjw9zrFwa&#10;+Isuu+KVhHCu0EIopau0znWgiHmUOmLRTqmPWGTtvXY9DhIeWz0x5k1HbFgaAnb0Eag+736jhXX3&#10;s129+qxXxxK+z+l92IStt/b5aWxmoApdy918u/50gm+EVp6RCf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2dcU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州突发环境事件应急指挥部</w:t>
                        </w:r>
                      </w:p>
                      <w:p>
                        <w:pPr>
                          <w:rPr>
                            <w:rFonts w:eastAsia="宋体"/>
                          </w:rPr>
                        </w:pPr>
                      </w:p>
                    </w:txbxContent>
                  </v:textbox>
                </v:rect>
                <v:shape id="_x0000_s1026" o:spid="_x0000_s1026" o:spt="110" type="#_x0000_t110" style="position:absolute;left:11123;top:662719;height:1380;width:2895;" filled="f" stroked="t" coordsize="21600,21600" o:gfxdata="UEsDBAoAAAAAAIdO4kAAAAAAAAAAAAAAAAAEAAAAZHJzL1BLAwQUAAAACACHTuJAtsukjLwAAADc&#10;AAAADwAAAGRycy9kb3ducmV2LnhtbEVP22oCMRB9F/oPYYS+1UTBYlejYFEpRVC3rs/DZtxd3EzW&#10;Terl75uC4NscznUms5utxYVaXznW0O8pEMS5MxUXGvY/y7cRCB+QDdaOScOdPMymL50JJsZdeUeX&#10;NBQihrBPUEMZQpNI6fOSLPqea4gjd3StxRBhW0jT4jWG21oOlHqXFiuODSU29FlSfkp/rYY829Jo&#10;vvbn9ffqsNncs1M23C60fu321RhEoFt4ih/uLxPnqw/4fyZeI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LpIy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各项污染指标</w:t>
                        </w:r>
                      </w:p>
                      <w:p>
                        <w:pPr>
                          <w:jc w:val="center"/>
                          <w:rPr>
                            <w:rFonts w:eastAsia="宋体"/>
                          </w:rPr>
                        </w:pPr>
                        <w:r>
                          <w:rPr>
                            <w:rFonts w:hint="eastAsia" w:eastAsia="宋体"/>
                          </w:rPr>
                          <w:t>变化</w:t>
                        </w:r>
                      </w:p>
                    </w:txbxContent>
                  </v:textbox>
                </v:shape>
                <v:rect id="_x0000_s1026" o:spid="_x0000_s1026" o:spt="1" style="position:absolute;left:11704;top:661789;height:450;width:1775;" filled="f" stroked="t" coordsize="21600,21600" o:gfxdata="UEsDBAoAAAAAAIdO4kAAAAAAAAAAAAAAAAAEAAAAZHJzL1BLAwQUAAAACACHTuJALArm/boAAADc&#10;AAAADwAAAGRycy9kb3ducmV2LnhtbEVPTWsCMRC9F/wPYQreuokFpWyNYqWCJ0FbqN6GzTRZ3EyW&#10;TXT13xtB8DaP9znT+cU34kxdrANrGBUKBHEVTM1Ww+/P6u0DREzIBpvApOFKEeazwcsUSxN63tJ5&#10;l6zIIRxL1OBSakspY+XIYyxCS5y5/9B5TBl2VpoO+xzuG/mu1ER6rDk3OGxp6ag67k5ew3d72CzG&#10;NsrFX3L7Y/jqV25jtR6+jtQniESX9BQ/3GuT56sJ3J/JF8jZ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Cub9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w:txbxContent>
                      <w:p>
                        <w:pPr>
                          <w:jc w:val="both"/>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应急响应措施</w:t>
                        </w:r>
                      </w:p>
                    </w:txbxContent>
                  </v:textbox>
                </v:rect>
                <v:shape id="_x0000_s1026" o:spid="_x0000_s1026" o:spt="32" type="#_x0000_t32" style="position:absolute;left:12567;top:658894;height:675;width:0;" filled="f" stroked="t" coordsize="21600,21600" o:gfxdata="UEsDBAoAAAAAAIdO4kAAAAAAAAAAAAAAAAAEAAAAZHJzL1BLAwQUAAAACACHTuJAMJ5Z0bwAAADc&#10;AAAADwAAAGRycy9kb3ducmV2LnhtbEVPS2sCMRC+F/wPYYTeanalLO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eWdG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_x0000_s1026" o:spid="_x0000_s1026" o:spt="1" style="position:absolute;left:11596;top:660694;height:450;width:1908;" filled="f" stroked="t" coordsize="21600,21600" o:gfxdata="UEsDBAoAAAAAAIdO4kAAAAAAAAAAAAAAAAAEAAAAZHJzL1BLAwQUAAAACACHTuJA2EzkUrsAAADc&#10;AAAADwAAAGRycy9kb3ducmV2LnhtbEVP32vCMBB+F/wfwgl707SDiavG4saEPQlTYfp2NGdS2lxK&#10;k1n33y/CwLf7+H7eqry5VlypD7VnBfksA0FceV2zUXA8bKcLECEia2w9k4JfClCux6MVFtoP/EXX&#10;fTQihXAoUIGNsSukDJUlh2HmO+LEXXzvMCbYG6l7HFK4a+Vzls2lw5pTg8WO3i1Vzf7HKfjozrvN&#10;iwly8x3tqfFvw9bujFJPkzxbgoh0iw/xv/tTp/n5K9yfSRfI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EzkUr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pPr>
                          <w:jc w:val="center"/>
                          <w:rPr>
                            <w:rFonts w:eastAsia="宋体"/>
                          </w:rPr>
                        </w:pPr>
                        <w:r>
                          <w:rPr>
                            <w:rFonts w:hint="eastAsia" w:ascii="仿宋_GB2312" w:hAnsi="仿宋_GB2312" w:eastAsia="仿宋_GB2312" w:cs="仿宋_GB2312"/>
                            <w:b w:val="0"/>
                            <w:bCs/>
                            <w:color w:val="auto"/>
                            <w:sz w:val="24"/>
                            <w:szCs w:val="24"/>
                            <w:highlight w:val="none"/>
                          </w:rPr>
                          <w:t>启动应急响应</w:t>
                        </w:r>
                      </w:p>
                    </w:txbxContent>
                  </v:textbox>
                </v:rect>
                <v:rect id="_x0000_s1026" o:spid="_x0000_s1026" o:spt="1" style="position:absolute;left:10929;top:658444;height:450;width:3290;" filled="f" stroked="t" coordsize="21600,21600" o:gfxdata="UEsDBAoAAAAAAIdO4kAAAAAAAAAAAAAAAAAEAAAAZHJzL1BLAwQUAAAACACHTuJA3Nh4iroAAADc&#10;AAAADwAAAGRycy9kb3ducmV2LnhtbEVPTWsCMRC9C/0PYQRvbqJgKatRtCh4EmoLbW/DZkwWN5Nl&#10;E139901B8DaP9zmL1c034kpdrANrmBQKBHEVTM1Ww9fnbvwGIiZkg01g0nCnCKvly2CBpQk9f9D1&#10;mKzIIRxL1OBSakspY+XIYyxCS5y5U+g8pgw7K02HfQ73jZwq9So91pwbHLb07qg6Hy9ew7b9Paxn&#10;Nsr1d3I/57Dpd+5gtR4NJ2oOItEtPcUP997k+WoG/8/kC+Ty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2HiK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w:txbxContent>
                      <w:p>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州生态环境安全应急指挥部</w:t>
                        </w:r>
                      </w:p>
                    </w:txbxContent>
                  </v:textbox>
                </v:rect>
                <v:rect id="_x0000_s1026" o:spid="_x0000_s1026" o:spt="1" style="position:absolute;left:11425;top:659569;height:450;width:2250;" filled="f" stroked="t" coordsize="21600,21600" o:gfxdata="UEsDBAoAAAAAAIdO4kAAAAAAAAAAAAAAAAAEAAAAZHJzL1BLAwQUAAAACACHTuJAs5TdEboAAADc&#10;AAAADwAAAGRycy9kb3ducmV2LnhtbEVPTWsCMRC9F/ofwhR6q4miUlaj2KLQk6AtVG/DZkwWN5Nl&#10;E13990YQvM3jfc50fvG1OFMbq8Aa+j0FgrgMpmKr4e939fEJIiZkg3Vg0nClCPPZ68sUCxM63tB5&#10;m6zIIRwL1OBSagopY+nIY+yFhjhzh9B6TBm2VpoWuxzuazlQaiw9VpwbHDb07ag8bk9ew7LZrxcj&#10;G+XiP7ndMXx1K7e2Wr+/9dUERKJLeoof7h+T56sh3J/JF8jZ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lN0R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w:txbxContent>
                      <w:p>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发布预警</w:t>
                        </w:r>
                      </w:p>
                    </w:txbxContent>
                  </v:textbox>
                </v:rect>
                <v:rect id="_x0000_s1026" o:spid="_x0000_s1026" o:spt="1" style="position:absolute;left:14078;top:664724;height:450;width:810;" filled="f" stroked="f" coordsize="21600,21600" o:gfxdata="UEsDBAoAAAAAAIdO4kAAAAAAAAAAAAAAAAAEAAAAZHJzL1BLAwQUAAAACACHTuJAbfUKQr4AAADc&#10;AAAADwAAAGRycy9kb3ducmV2LnhtbEWPQWvCQBCF7wX/wzIFL0U38SAlunoQiqEIYmw9D9lpEpqd&#10;jdltov/eOQi9zfDevPfNentzrRqoD41nA+k8AUVcettwZeDr/DF7BxUissXWMxm4U4DtZvKyxsz6&#10;kU80FLFSEsIhQwN1jF2mdShrchjmviMW7cf3DqOsfaVtj6OEu1YvkmSpHTYsDTV2tKup/C3+nIGx&#10;PA6X82Gvj2+X3PM1v+6K709jpq9psgIV6Rb/zc/r3Ap+KvjyjEygN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UKQ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rPr>
                            <w:rFonts w:eastAsia="宋体"/>
                          </w:rPr>
                        </w:pPr>
                        <w:r>
                          <w:rPr>
                            <w:rFonts w:hint="eastAsia" w:ascii="仿宋_GB2312" w:hAnsi="仿宋_GB2312" w:eastAsia="仿宋_GB2312" w:cs="仿宋_GB2312"/>
                            <w:b w:val="0"/>
                            <w:bCs/>
                            <w:color w:val="auto"/>
                            <w:sz w:val="24"/>
                            <w:szCs w:val="24"/>
                            <w:highlight w:val="none"/>
                            <w:lang w:val="en-US" w:eastAsia="zh-CN"/>
                          </w:rPr>
                          <w:t>会商</w:t>
                        </w:r>
                      </w:p>
                    </w:txbxContent>
                  </v:textbox>
                </v:rect>
                <v:rect id="_x0000_s1026" o:spid="_x0000_s1026" o:spt="1" style="position:absolute;left:10253;top:664004;height:769;width:1410;" filled="f" stroked="f" coordsize="21600,21600" o:gfxdata="UEsDBAoAAAAAAIdO4kAAAAAAAAAAAAAAAAAEAAAAZHJzL1BLAwQUAAAACACHTuJAZ8UE67wAAADc&#10;AAAADwAAAGRycy9kb3ducmV2LnhtbEVPTWvCQBC9C/0Pywi9SN21By0xGw9CMZSCNLaeh+yYBLOz&#10;Mbsm9t93hYK3ebzPSTc324qBet841rCYKxDEpTMNVxq+D+8vbyB8QDbYOiYNv+Rhkz1NUkyMG/mL&#10;hiJUIoawT1BDHUKXSOnLmiz6ueuII3dyvcUQYV9J0+MYw20rX5VaSosNx4YaO9rWVJ6Lq9Uwlvvh&#10;ePjcyf3smDu+5Jdt8fOh9fN0odYgAt3CQ/zvzk2cr1ZwfyZeI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FBOu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未达到相关标准要求</w:t>
                        </w:r>
                      </w:p>
                    </w:txbxContent>
                  </v:textbox>
                </v:rect>
                <v:rect id="_x0000_s1026" o:spid="_x0000_s1026" o:spt="1" style="position:absolute;left:12504;top:664187;height:450;width:944;" filled="f" stroked="f" coordsize="21600,21600" o:gfxdata="UEsDBAoAAAAAAIdO4kAAAAAAAAAAAAAAAAAEAAAAZHJzL1BLAwQUAAAACACHTuJAo5nA/78AAADc&#10;AAAADwAAAGRycy9kb3ducmV2LnhtbEWPT2vCQBDF7wW/wzJCL6Vu9CASXT0IxSCCNP45D9lpEpqd&#10;jdk1sd++cxC8zfDevPeb1ebhGtVTF2rPBqaTBBRx4W3NpYHz6etzASpEZIuNZzLwRwE269HbClPr&#10;B/6mPo+lkhAOKRqoYmxTrUNRkcMw8S2xaD++cxhl7UptOxwk3DV6liRz7bBmaaiwpW1FxW9+dwaG&#10;4thfT4edPn5cM8+37LbNL3tj3sfTZAkq0iO+zM/rzAr+TPDlGZlAr/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ZwP+/&#10;AAAA3AAAAA8AAAAAAAAAAQAgAAAAIgAAAGRycy9kb3ducmV2LnhtbFBLAQIUABQAAAAIAIdO4kAz&#10;LwWeOwAAADkAAAAQAAAAAAAAAAEAIAAAAA4BAABkcnMvc2hhcGV4bWwueG1sUEsFBgAAAAAGAAYA&#10;WwEAALgDAAAAAA==&#10;">
                  <v:fill on="f" focussize="0,0"/>
                  <v:stroke on="f"/>
                  <v:imagedata o:title=""/>
                  <o:lock v:ext="edit" aspectratio="f"/>
                  <v:textbox>
                    <w:txbxContent>
                      <w:p>
                        <w:pPr>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报 告</w:t>
                        </w:r>
                      </w:p>
                    </w:txbxContent>
                  </v:textbox>
                </v:rect>
              </v:group>
            </w:pict>
          </mc:Fallback>
        </mc:AlternateContent>
      </w:r>
    </w:p>
    <w:p>
      <w:pPr>
        <w:spacing w:line="360" w:lineRule="auto"/>
        <w:jc w:val="center"/>
        <w:rPr>
          <w:rFonts w:ascii="楷体_GB2312" w:eastAsia="楷体_GB2312"/>
          <w:color w:val="auto"/>
          <w:sz w:val="30"/>
          <w:szCs w:val="30"/>
          <w:highlight w:val="none"/>
        </w:rPr>
      </w:pPr>
    </w:p>
    <w:p>
      <w:pPr>
        <w:spacing w:line="560" w:lineRule="exact"/>
        <w:ind w:firstLine="600" w:firstLineChars="200"/>
        <w:rPr>
          <w:rFonts w:ascii="楷体_GB2312" w:eastAsia="楷体_GB2312"/>
          <w:color w:val="auto"/>
          <w:sz w:val="30"/>
          <w:szCs w:val="30"/>
          <w:highlight w:val="none"/>
        </w:rPr>
      </w:pPr>
    </w:p>
    <w:p>
      <w:pPr>
        <w:spacing w:line="560" w:lineRule="exact"/>
        <w:rPr>
          <w:rFonts w:ascii="楷体_GB2312" w:eastAsia="楷体_GB2312"/>
          <w:color w:val="auto"/>
          <w:sz w:val="30"/>
          <w:szCs w:val="30"/>
          <w:highlight w:val="none"/>
        </w:rPr>
      </w:pPr>
    </w:p>
    <w:p>
      <w:pPr>
        <w:spacing w:line="560" w:lineRule="exact"/>
        <w:rPr>
          <w:rFonts w:ascii="楷体_GB2312" w:eastAsia="楷体_GB2312"/>
          <w:color w:val="auto"/>
          <w:sz w:val="30"/>
          <w:szCs w:val="30"/>
          <w:highlight w:val="none"/>
        </w:rPr>
      </w:pPr>
    </w:p>
    <w:p>
      <w:pPr>
        <w:pStyle w:val="2"/>
        <w:rPr>
          <w:rFonts w:hint="eastAsia" w:ascii="黑体" w:hAnsi="黑体" w:eastAsia="黑体" w:cs="黑体"/>
          <w:color w:val="auto"/>
          <w:sz w:val="32"/>
          <w:szCs w:val="32"/>
          <w:highlight w:val="none"/>
        </w:rPr>
      </w:pPr>
      <w:r>
        <w:rPr>
          <w:sz w:val="32"/>
        </w:rPr>
        <mc:AlternateContent>
          <mc:Choice Requires="wps">
            <w:drawing>
              <wp:anchor distT="0" distB="0" distL="114300" distR="114300" simplePos="0" relativeHeight="251670528" behindDoc="0" locked="0" layoutInCell="1" allowOverlap="1">
                <wp:simplePos x="0" y="0"/>
                <wp:positionH relativeFrom="column">
                  <wp:posOffset>1214755</wp:posOffset>
                </wp:positionH>
                <wp:positionV relativeFrom="paragraph">
                  <wp:posOffset>4799330</wp:posOffset>
                </wp:positionV>
                <wp:extent cx="497840" cy="5080"/>
                <wp:effectExtent l="0" t="0" r="0" b="0"/>
                <wp:wrapNone/>
                <wp:docPr id="169" name="直接连接符 169"/>
                <wp:cNvGraphicFramePr/>
                <a:graphic xmlns:a="http://schemas.openxmlformats.org/drawingml/2006/main">
                  <a:graphicData uri="http://schemas.microsoft.com/office/word/2010/wordprocessingShape">
                    <wps:wsp>
                      <wps:cNvCnPr>
                        <a:stCxn id="118" idx="1"/>
                      </wps:cNvCnPr>
                      <wps:spPr>
                        <a:xfrm flipH="1">
                          <a:off x="2590800" y="7928610"/>
                          <a:ext cx="497840" cy="50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95.65pt;margin-top:377.9pt;height:0.4pt;width:39.2pt;z-index:251670528;mso-width-relative:page;mso-height-relative:page;" filled="f" stroked="t" coordsize="21600,21600" o:gfxdata="UEsDBAoAAAAAAIdO4kAAAAAAAAAAAAAAAAAEAAAAZHJzL1BLAwQUAAAACACHTuJAbl+iCNgAAAAL&#10;AQAADwAAAGRycy9kb3ducmV2LnhtbE2PwU7DMBBE70j8g7VI3KiTlqZ1iFNRJOCGREvvbrxNosbr&#10;EDtt+Xu2JzjO7NPsTLG6uE6ccAitJw3pJAGBVHnbUq3ha/v6sAQRoiFrOk+o4QcDrMrbm8Lk1p/p&#10;E0+bWAsOoZAbDU2MfS5lqBp0Jkx8j8S3gx+ciSyHWtrBnDncdXKaJJl0piX+0JgeXxqsjpvRaVhv&#10;1ezN7sb344d6xOe1SsP4vdP6/i5NnkBEvMQ/GK71uTqU3GnvR7JBdKxVOmNUw2I+5w1MTDO1ALG/&#10;OlkGsizk/w3lL1BLAwQUAAAACACHTuJALThUFwwCAAD1AwAADgAAAGRycy9lMm9Eb2MueG1srVNN&#10;bhMxFN4jcQfLezKT0KTJKJMuEhUWCCoBB3A89owl/8nPzSSX4AJI7GDFkn1vQzkGz56hpWXTBV5Y&#10;tt/3Pr/v8/P64mg0OYgAytmaTiclJcJy1yjb1vTjh8sXS0ogMtsw7ayo6UkAvdg8f7bufSVmrnO6&#10;EYEgiYWq9zXtYvRVUQDvhGEwcV5YDEoXDIu4DW3RBNYju9HFrCwXRe9C44PjAgBPd0OQjozhKYRO&#10;SsXFzvFrI2wcWIPQLKIk6JQHusnVSil4fCcliEh0TVFpzDNegut9movNmlVtYL5TfCyBPaWER5oM&#10;UxYvvaPascjIdVD/UBnFgwMn44Q7UwxCsiOoYlo+8uZ9x7zIWtBq8Hemw/+j5W8PV4GoBjthsaLE&#10;MoNPfvv5x89PX3/dfMH59vs3kkJoVO+hQvzWXoUkFeL2aIfUKfaMao5IknDFA2DagB9SjjIYIrXy&#10;rxM0kaADBPNm81W5LPFRTjU9X82Wi+n4NOIYCUfA2ep8eYZxjoA5QvM9rEqEicYHiK+EMyQtaqqV&#10;Tb6xih3eQEwl3UPSsXWXSuv89tqSvqaLl/NEzrCfJfYRLo1HT8C2lDDd4kfhMWRGcFo1KTvxQGj3&#10;Wx3IgaX2ymMs7AEsFbVj0A24HEowVhkV8S9pZWqK6nGM2dqOLg7GJQv3rjldhT/uYjdkUWPnpnb7&#10;e5+z73/r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uX6II2AAAAAsBAAAPAAAAAAAAAAEAIAAA&#10;ACIAAABkcnMvZG93bnJldi54bWxQSwECFAAUAAAACACHTuJALThUFwwCAAD1AwAADgAAAAAAAAAB&#10;ACAAAAAnAQAAZHJzL2Uyb0RvYy54bWxQSwUGAAAAAAYABgBZAQAApQUAAAAA&#10;">
                <v:fill on="f" focussize="0,0"/>
                <v:stroke weight="0.5pt" color="#000000 [3213]" miterlimit="8" joinstyle="miter"/>
                <v:imagedata o:title=""/>
                <o:lock v:ext="edit" aspectratio="f"/>
              </v:line>
            </w:pict>
          </mc:Fallback>
        </mc:AlternateContent>
      </w:r>
      <w:r>
        <w:rPr>
          <w:color w:val="auto"/>
          <w:sz w:val="32"/>
          <w:highlight w:val="none"/>
        </w:rPr>
        <mc:AlternateContent>
          <mc:Choice Requires="wps">
            <w:drawing>
              <wp:anchor distT="0" distB="0" distL="114300" distR="114300" simplePos="0" relativeHeight="251668480" behindDoc="0" locked="0" layoutInCell="1" allowOverlap="1">
                <wp:simplePos x="0" y="0"/>
                <wp:positionH relativeFrom="column">
                  <wp:posOffset>2612390</wp:posOffset>
                </wp:positionH>
                <wp:positionV relativeFrom="paragraph">
                  <wp:posOffset>5037455</wp:posOffset>
                </wp:positionV>
                <wp:extent cx="635" cy="260350"/>
                <wp:effectExtent l="38100" t="0" r="37465" b="6350"/>
                <wp:wrapNone/>
                <wp:docPr id="128" name="直接箭头连接符 128"/>
                <wp:cNvGraphicFramePr/>
                <a:graphic xmlns:a="http://schemas.openxmlformats.org/drawingml/2006/main">
                  <a:graphicData uri="http://schemas.microsoft.com/office/word/2010/wordprocessingShape">
                    <wps:wsp>
                      <wps:cNvCnPr>
                        <a:stCxn id="118" idx="2"/>
                      </wps:cNvCnPr>
                      <wps:spPr>
                        <a:xfrm flipH="1">
                          <a:off x="0" y="0"/>
                          <a:ext cx="635" cy="2603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5.7pt;margin-top:396.65pt;height:20.5pt;width:0.05pt;z-index:251668480;mso-width-relative:page;mso-height-relative:page;" filled="f" stroked="t" coordsize="21600,21600" o:gfxdata="UEsDBAoAAAAAAIdO4kAAAAAAAAAAAAAAAAAEAAAAZHJzL1BLAwQUAAAACACHTuJA44qIktoAAAAL&#10;AQAADwAAAGRycy9kb3ducmV2LnhtbE2PwU6DQBCG7ya+w2ZMvBi7UKgisvSgVk+mEet9y45Ays4S&#10;dtvC2zue9DgzX/75/mI92V6ccPSdIwXxIgKBVDvTUaNg97m5zUD4oMno3hEqmNHDury8KHRu3Jk+&#10;8FSFRnAI+VwraEMYcil93aLVfuEGJL59u9HqwOPYSDPqM4fbXi6j6E5a3RF/aPWATy3Wh+poFTxX&#10;29Xm62Y3Lef67b16zQ5bml+Uur6Ko0cQAafwB8OvPqtDyU57dyTjRa8gjeOUUQX3D0kCggnerEDs&#10;FWRJmoAsC/m/Q/kDUEsDBBQAAAAIAIdO4kCRxjTZHwIAACcEAAAOAAAAZHJzL2Uyb0RvYy54bWyt&#10;U0uOEzEQ3SNxB8t70kmPEkErnVkkDCwQRAIOULHd3Zb8k+1JJ5fgAkisgBXMavacBoZjUHaHZBiE&#10;NAt60fKn6lW9V8/z851WZCt8kNbUdDIaUyIMs1yatqZv31w8ekxJiGA4KGtETfci0PPFwwfz3lWi&#10;tJ1VXHiCICZUvatpF6OriiKwTmgII+uEwcvGeg0Rt74tuIce0bUqyvF4VvTWc+ctEyHg6Wq4pAdE&#10;fx9A2zSSiZVll1qYOKB6oSAipdBJF+gid9s0gsVXTRNEJKqmyDTmPxbB9Sb9i8UcqtaD6yQ7tAD3&#10;aeEOJw3SYNEj1AoikEsv/4LSknkbbBNHzOpiIJIVQRaT8R1tXnfgROaCUgd3FD38P1j2crv2RHJ0&#10;QomDN6Bx5Dfvr3+8+3Rz9fX7x+uf3z6k9ZfPJAWgXL0LFWYtzdonwiEud2YAmCCA5Lualimu+CMw&#10;bYIbUnaN16RR0j3Hqlk11IFgHg5lfxyK2EXC8HB2NqWE4Xk5G59N88QKqBJGKu98iM+E1SQtahqi&#10;B9l2cWmNwdlbP+DD9kWIqadTQkpWhvQ1fTItUwVALzfoIVxqh3oE0+beglWSX0ilMlvfbpbKky0k&#10;P+Uvc0UdboelZlYQuiEuXw1O6wTwp4aTuHeos8EHRlMLWnBKlMD3mFbZkxGkOkVGL8G06h/RSEuZ&#10;g+KDyEnujeX7tf89CfRP5n/wejLo7X3OPr3vx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jioiS&#10;2gAAAAsBAAAPAAAAAAAAAAEAIAAAACIAAABkcnMvZG93bnJldi54bWxQSwECFAAUAAAACACHTuJA&#10;kcY02R8CAAAnBAAADgAAAAAAAAABACAAAAApAQAAZHJzL2Uyb0RvYy54bWxQSwUGAAAAAAYABgBZ&#10;AQAAugUAAAAA&#10;">
                <v:fill on="f" focussize="0,0"/>
                <v:stroke color="#000000" joinstyle="round" endarrow="block"/>
                <v:imagedata o:title=""/>
                <o:lock v:ext="edit" aspectratio="f"/>
              </v:shape>
            </w:pict>
          </mc:Fallback>
        </mc:AlternateContent>
      </w:r>
      <w:r>
        <w:rPr>
          <w:rFonts w:eastAsia="楷体_GB2312"/>
          <w:b w:val="0"/>
          <w:color w:val="auto"/>
          <w:sz w:val="32"/>
          <w:highlight w:val="none"/>
        </w:rPr>
        <w:br w:type="page"/>
      </w:r>
    </w:p>
    <w:p>
      <w:pPr>
        <w:spacing w:after="156"/>
        <w:outlineLvl w:val="1"/>
        <w:rPr>
          <w:rFonts w:hint="eastAsia" w:ascii="Times New Roman" w:hAnsi="Times New Roman" w:eastAsia="楷体_GB2312"/>
          <w:b/>
          <w:bCs/>
          <w:color w:val="auto"/>
          <w:kern w:val="2"/>
          <w:sz w:val="32"/>
          <w:highlight w:val="none"/>
          <w:lang w:val="en-US"/>
        </w:rPr>
      </w:pPr>
      <w:bookmarkStart w:id="135" w:name="_Toc29931"/>
      <w:r>
        <w:rPr>
          <w:rFonts w:hint="eastAsia" w:ascii="Times New Roman" w:hAnsi="Times New Roman" w:eastAsia="楷体_GB2312"/>
          <w:b/>
          <w:bCs/>
          <w:color w:val="auto"/>
          <w:kern w:val="2"/>
          <w:sz w:val="32"/>
          <w:highlight w:val="none"/>
          <w:lang w:val="en-US"/>
        </w:rPr>
        <w:t>附件6 各类突发环境事件应急处置原则</w:t>
      </w:r>
      <w:bookmarkEnd w:id="135"/>
    </w:p>
    <w:p>
      <w:pPr>
        <w:keepNext w:val="0"/>
        <w:keepLines w:val="0"/>
        <w:pageBreakBefore w:val="0"/>
        <w:widowControl w:val="0"/>
        <w:kinsoku/>
        <w:wordWrap/>
        <w:overflowPunct/>
        <w:topLinePunct w:val="0"/>
        <w:autoSpaceDE/>
        <w:autoSpaceDN/>
        <w:bidi w:val="0"/>
        <w:adjustRightInd/>
        <w:snapToGrid/>
        <w:spacing w:before="157" w:beforeLines="50"/>
        <w:textAlignment w:val="auto"/>
        <w:outlineLvl w:val="9"/>
        <w:rPr>
          <w:rFonts w:hint="eastAsia" w:eastAsia="楷体_GB2312"/>
          <w:b/>
          <w:bCs/>
          <w:color w:val="auto"/>
          <w:sz w:val="32"/>
          <w:szCs w:val="32"/>
          <w:highlight w:val="none"/>
        </w:rPr>
      </w:pPr>
      <w:bookmarkStart w:id="136" w:name="_Toc26153"/>
      <w:bookmarkStart w:id="137" w:name="_Toc477776148"/>
      <w:r>
        <w:rPr>
          <w:rFonts w:hint="eastAsia" w:eastAsia="楷体_GB2312"/>
          <w:b/>
          <w:bCs/>
          <w:color w:val="auto"/>
          <w:sz w:val="32"/>
          <w:szCs w:val="32"/>
          <w:highlight w:val="none"/>
        </w:rPr>
        <w:t>附6.1 突发水污染事件应急处置原则</w:t>
      </w:r>
      <w:bookmarkEnd w:id="136"/>
      <w:bookmarkEnd w:id="137"/>
    </w:p>
    <w:p>
      <w:pPr>
        <w:spacing w:line="560" w:lineRule="exact"/>
        <w:ind w:firstLine="640" w:firstLineChars="200"/>
        <w:rPr>
          <w:rFonts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（1）突发水污染事件</w:t>
      </w:r>
    </w:p>
    <w:p>
      <w:pPr>
        <w:spacing w:line="560" w:lineRule="exact"/>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当发生重大、特别重大突发水环境污染事件时，应迅速切断污染源，关闭排污总出口，打开应急事故池阀门，由应急处置组相关单位负责事故救援，投放砂袋对污水进行围堵，采取向围堵废水中投放吸附剂、中和剂、围油索等应急处置措施。</w:t>
      </w:r>
    </w:p>
    <w:p>
      <w:pPr>
        <w:spacing w:line="560" w:lineRule="exact"/>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应急处置组指导、协助先期到达单位组织周围居民、学生及教职工进行疏散并建立隔离区，及时清除路障，对事故发生地主要交通干线实行交通管制；</w:t>
      </w:r>
    </w:p>
    <w:p>
      <w:pPr>
        <w:spacing w:line="560" w:lineRule="exact"/>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lang w:eastAsia="zh-CN"/>
        </w:rPr>
        <w:t>医学救援组</w:t>
      </w:r>
      <w:r>
        <w:rPr>
          <w:rFonts w:hint="eastAsia" w:ascii="仿宋_GB2312" w:hAnsi="宋体" w:eastAsia="仿宋_GB2312" w:cs="宋体"/>
          <w:color w:val="auto"/>
          <w:sz w:val="32"/>
          <w:szCs w:val="32"/>
          <w:highlight w:val="none"/>
        </w:rPr>
        <w:t>负责事故伤员、中毒人员的救治，并对现场进行卫生处理指导；</w:t>
      </w:r>
    </w:p>
    <w:p>
      <w:pPr>
        <w:spacing w:line="560" w:lineRule="exact"/>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lang w:eastAsia="zh-CN"/>
        </w:rPr>
        <w:t>监测预警组</w:t>
      </w:r>
      <w:r>
        <w:rPr>
          <w:rFonts w:hint="eastAsia" w:ascii="仿宋_GB2312" w:hAnsi="宋体" w:eastAsia="仿宋_GB2312" w:cs="宋体"/>
          <w:color w:val="auto"/>
          <w:sz w:val="32"/>
          <w:szCs w:val="32"/>
          <w:highlight w:val="none"/>
        </w:rPr>
        <w:t>对现场及附近地表水、地下水进行取样监测，根据水体受污染情况通知水务部门协调支流或下游水库调节流量，及时通知河流下游区域注意人畜饮水安全；</w:t>
      </w:r>
    </w:p>
    <w:p>
      <w:pPr>
        <w:spacing w:line="560" w:lineRule="exact"/>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后勤保障组相关单位负责协调应急物资的供应。如事故区域及下游区域饮用水安全受到威胁，由州水务局指导、协调属地供水主管部门保障受影响区域内居民的饮用水安全。</w:t>
      </w:r>
    </w:p>
    <w:p>
      <w:pPr>
        <w:spacing w:line="560" w:lineRule="exact"/>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社会维稳组相关单位负责受灾人员的安抚、善后和维稳工作。</w:t>
      </w:r>
    </w:p>
    <w:p>
      <w:pPr>
        <w:spacing w:line="560" w:lineRule="exact"/>
        <w:ind w:firstLine="640" w:firstLineChars="200"/>
        <w:rPr>
          <w:rFonts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新闻发布组组织有关新闻单位及时报道应急处置情况，做好舆论引导工作。</w:t>
      </w:r>
    </w:p>
    <w:p>
      <w:pPr>
        <w:spacing w:line="560" w:lineRule="exact"/>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当事故无法控制，可能引发跨州污染的情况下，州政府及时通报下游市（州）政府。</w:t>
      </w:r>
    </w:p>
    <w:p>
      <w:pPr>
        <w:spacing w:line="560" w:lineRule="exact"/>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（2）水体富营养化</w:t>
      </w:r>
    </w:p>
    <w:p>
      <w:pPr>
        <w:spacing w:line="560" w:lineRule="exact"/>
        <w:ind w:firstLine="640" w:firstLineChars="200"/>
        <w:rPr>
          <w:rFonts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境内饮用水源地爆发水体富营养化事件时，应急指挥部根据事件严重程度及时发布暂停取水的命令。应急处置组立即开展事故处置工作并调配备用水源，保证受影响区域内居民的饮用水供应。</w:t>
      </w:r>
      <w:r>
        <w:rPr>
          <w:rFonts w:hint="eastAsia" w:ascii="仿宋_GB2312" w:hAnsi="宋体" w:eastAsia="仿宋_GB2312" w:cs="宋体"/>
          <w:color w:val="auto"/>
          <w:sz w:val="32"/>
          <w:szCs w:val="32"/>
          <w:highlight w:val="none"/>
          <w:lang w:eastAsia="zh-CN"/>
        </w:rPr>
        <w:t>监测预警组</w:t>
      </w:r>
      <w:r>
        <w:rPr>
          <w:rFonts w:hint="eastAsia" w:ascii="仿宋_GB2312" w:hAnsi="宋体" w:eastAsia="仿宋_GB2312" w:cs="宋体"/>
          <w:color w:val="auto"/>
          <w:sz w:val="32"/>
          <w:szCs w:val="32"/>
          <w:highlight w:val="none"/>
        </w:rPr>
        <w:t>负责对饮用水源地水质进行监测。后勤保障组相关单位负责协调应急物资的供应和受灾人员的安抚、善后工作。社会维稳组相关单位负责受灾人员的安抚、善后和维稳工作。</w:t>
      </w:r>
    </w:p>
    <w:p>
      <w:pPr>
        <w:keepNext w:val="0"/>
        <w:keepLines w:val="0"/>
        <w:pageBreakBefore w:val="0"/>
        <w:widowControl w:val="0"/>
        <w:kinsoku/>
        <w:wordWrap/>
        <w:overflowPunct/>
        <w:topLinePunct w:val="0"/>
        <w:autoSpaceDE/>
        <w:autoSpaceDN/>
        <w:bidi w:val="0"/>
        <w:adjustRightInd/>
        <w:snapToGrid/>
        <w:spacing w:before="157" w:beforeLines="50"/>
        <w:textAlignment w:val="auto"/>
        <w:outlineLvl w:val="9"/>
        <w:rPr>
          <w:rFonts w:hint="eastAsia" w:eastAsia="楷体_GB2312"/>
          <w:b/>
          <w:bCs/>
          <w:color w:val="auto"/>
          <w:sz w:val="32"/>
          <w:szCs w:val="32"/>
          <w:highlight w:val="none"/>
        </w:rPr>
      </w:pPr>
      <w:bookmarkStart w:id="138" w:name="_Toc466493209"/>
      <w:bookmarkStart w:id="139" w:name="_Toc477776149"/>
      <w:bookmarkStart w:id="140" w:name="_Toc11547"/>
      <w:r>
        <w:rPr>
          <w:rFonts w:hint="eastAsia" w:eastAsia="楷体_GB2312"/>
          <w:b/>
          <w:bCs/>
          <w:color w:val="auto"/>
          <w:sz w:val="32"/>
          <w:szCs w:val="32"/>
          <w:highlight w:val="none"/>
        </w:rPr>
        <w:t>附6.2 突发大气污染事件</w:t>
      </w:r>
      <w:bookmarkEnd w:id="138"/>
      <w:r>
        <w:rPr>
          <w:rFonts w:hint="eastAsia" w:eastAsia="楷体_GB2312"/>
          <w:b/>
          <w:bCs/>
          <w:color w:val="auto"/>
          <w:sz w:val="32"/>
          <w:szCs w:val="32"/>
          <w:highlight w:val="none"/>
        </w:rPr>
        <w:t>应急处置原则</w:t>
      </w:r>
      <w:bookmarkEnd w:id="139"/>
      <w:bookmarkEnd w:id="140"/>
    </w:p>
    <w:p>
      <w:pPr>
        <w:spacing w:line="560" w:lineRule="exact"/>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当发生危险化学品火灾或爆炸事件时，大量燃烧废气进入空气中引发重大、特别重大突发环境事件时，由应急处置组相关单位负责事故救援，采取向火灾或爆炸区喷洒水雾、稀酸或稀碱液进行紧急处理，防止危险物质挥发，同时在较低处投放沙袋围堵消防废液防止污染物进入水体。</w:t>
      </w:r>
    </w:p>
    <w:p>
      <w:pPr>
        <w:spacing w:line="560" w:lineRule="exact"/>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当发生大面积火灾或森林火灾引发重大、特别重大突发环境事件时，由应急处置组相关单位负责事故救援，必要时由气象部门实施人工影响天气措施。</w:t>
      </w:r>
    </w:p>
    <w:p>
      <w:pPr>
        <w:spacing w:line="560" w:lineRule="exact"/>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当企业废气事故排放引发重大、特别重大突发环境事件时，应急处置组相关单位负责事故救援。</w:t>
      </w:r>
    </w:p>
    <w:p>
      <w:pPr>
        <w:spacing w:line="560" w:lineRule="exact"/>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公安部门负责组织事发地周围居民进行疏散并建立隔离区，及时清除路障。</w:t>
      </w:r>
    </w:p>
    <w:p>
      <w:pPr>
        <w:spacing w:line="560" w:lineRule="exact"/>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lang w:eastAsia="zh-CN"/>
        </w:rPr>
        <w:t>医学救援组</w:t>
      </w:r>
      <w:r>
        <w:rPr>
          <w:rFonts w:hint="eastAsia" w:ascii="仿宋_GB2312" w:hAnsi="宋体" w:eastAsia="仿宋_GB2312" w:cs="宋体"/>
          <w:color w:val="auto"/>
          <w:sz w:val="32"/>
          <w:szCs w:val="32"/>
          <w:highlight w:val="none"/>
        </w:rPr>
        <w:t>负责事故伤员、中毒人员的救治；</w:t>
      </w:r>
    </w:p>
    <w:p>
      <w:pPr>
        <w:spacing w:line="560" w:lineRule="exact"/>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lang w:eastAsia="zh-CN"/>
        </w:rPr>
        <w:t>监测预警组</w:t>
      </w:r>
      <w:r>
        <w:rPr>
          <w:rFonts w:hint="eastAsia" w:ascii="仿宋_GB2312" w:hAnsi="宋体" w:eastAsia="仿宋_GB2312" w:cs="宋体"/>
          <w:color w:val="auto"/>
          <w:sz w:val="32"/>
          <w:szCs w:val="32"/>
          <w:highlight w:val="none"/>
        </w:rPr>
        <w:t>对现场及下风向敏感保护目标进行布点监测，气象部门负责对当时的天气、气象信息进行预测预报，参与污染物扩散趋势的判断；</w:t>
      </w:r>
    </w:p>
    <w:p>
      <w:pPr>
        <w:spacing w:line="560" w:lineRule="exact"/>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应急指挥部根据</w:t>
      </w:r>
      <w:r>
        <w:rPr>
          <w:rFonts w:hint="eastAsia" w:ascii="仿宋_GB2312" w:hAnsi="宋体" w:eastAsia="仿宋_GB2312" w:cs="宋体"/>
          <w:color w:val="auto"/>
          <w:sz w:val="32"/>
          <w:szCs w:val="32"/>
          <w:highlight w:val="none"/>
          <w:lang w:eastAsia="zh-CN"/>
        </w:rPr>
        <w:t>监测预警组</w:t>
      </w:r>
      <w:r>
        <w:rPr>
          <w:rFonts w:hint="eastAsia" w:ascii="仿宋_GB2312" w:hAnsi="宋体" w:eastAsia="仿宋_GB2312" w:cs="宋体"/>
          <w:color w:val="auto"/>
          <w:sz w:val="32"/>
          <w:szCs w:val="32"/>
          <w:highlight w:val="none"/>
        </w:rPr>
        <w:t>监测、预测结果，及时通报下风向可能受影响区域的人民政府，做好紧急疏散准备，并采取必要的身体防护措施。</w:t>
      </w:r>
    </w:p>
    <w:p>
      <w:pPr>
        <w:spacing w:line="560" w:lineRule="exact"/>
        <w:ind w:firstLine="640" w:firstLineChars="200"/>
        <w:rPr>
          <w:rFonts w:hint="eastAsia" w:eastAsia="楷体_GB2312"/>
          <w:bCs/>
          <w:color w:val="auto"/>
          <w:sz w:val="32"/>
          <w:szCs w:val="32"/>
          <w:highlight w:val="none"/>
        </w:rPr>
      </w:pPr>
      <w:r>
        <w:rPr>
          <w:rFonts w:hint="eastAsia" w:ascii="仿宋_GB2312" w:hAnsi="宋体" w:eastAsia="仿宋_GB2312" w:cs="宋体"/>
          <w:color w:val="auto"/>
          <w:sz w:val="32"/>
          <w:szCs w:val="32"/>
          <w:highlight w:val="none"/>
        </w:rPr>
        <w:t>新闻发布组及时报道应急处置情况，做好舆论引导工作。</w:t>
      </w:r>
      <w:bookmarkStart w:id="141" w:name="_Toc7910"/>
      <w:bookmarkStart w:id="142" w:name="_Toc477776150"/>
    </w:p>
    <w:p>
      <w:pPr>
        <w:keepNext w:val="0"/>
        <w:keepLines w:val="0"/>
        <w:pageBreakBefore w:val="0"/>
        <w:widowControl w:val="0"/>
        <w:kinsoku/>
        <w:wordWrap/>
        <w:overflowPunct/>
        <w:topLinePunct w:val="0"/>
        <w:autoSpaceDE/>
        <w:autoSpaceDN/>
        <w:bidi w:val="0"/>
        <w:adjustRightInd/>
        <w:snapToGrid/>
        <w:spacing w:before="157" w:beforeLines="50"/>
        <w:textAlignment w:val="auto"/>
        <w:outlineLvl w:val="9"/>
        <w:rPr>
          <w:rFonts w:hint="eastAsia" w:eastAsia="楷体_GB2312"/>
          <w:b/>
          <w:bCs/>
          <w:color w:val="auto"/>
          <w:sz w:val="32"/>
          <w:szCs w:val="32"/>
          <w:highlight w:val="none"/>
        </w:rPr>
      </w:pPr>
      <w:r>
        <w:rPr>
          <w:rFonts w:hint="eastAsia" w:eastAsia="楷体_GB2312"/>
          <w:b/>
          <w:bCs/>
          <w:color w:val="auto"/>
          <w:sz w:val="32"/>
          <w:szCs w:val="32"/>
          <w:highlight w:val="none"/>
        </w:rPr>
        <w:t>附6.3 土壤污染事件应急处置原则</w:t>
      </w:r>
      <w:bookmarkEnd w:id="141"/>
      <w:bookmarkEnd w:id="142"/>
    </w:p>
    <w:p>
      <w:pPr>
        <w:spacing w:line="560" w:lineRule="exact"/>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当发生危险化学品泄漏、固体废物事故排放等污染附近土壤引发重大、特别重大突发环境事件时，由应急处置组相关单位负责事故应急救援，及时切断污染源，防止泄漏物质进一步扩散，组织有关人员将泄漏危险化学品、固体废物收集清运并无害化处理；当发生废水事故排放污染附近土壤引发重大、特别重大突发环境事件时，及时切断污染源，设法将废水引流至附近污水管网；州农业农村局负责对受污染的农田实施应急救援工作。</w:t>
      </w:r>
    </w:p>
    <w:p>
      <w:pPr>
        <w:spacing w:line="560" w:lineRule="exact"/>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lang w:eastAsia="zh-CN"/>
        </w:rPr>
        <w:t>医学救援组</w:t>
      </w:r>
      <w:r>
        <w:rPr>
          <w:rFonts w:hint="eastAsia" w:ascii="仿宋_GB2312" w:hAnsi="宋体" w:eastAsia="仿宋_GB2312" w:cs="宋体"/>
          <w:color w:val="auto"/>
          <w:sz w:val="32"/>
          <w:szCs w:val="32"/>
          <w:highlight w:val="none"/>
        </w:rPr>
        <w:t>负责事故伤员、中毒人员的救治；</w:t>
      </w:r>
    </w:p>
    <w:p>
      <w:pPr>
        <w:spacing w:line="560" w:lineRule="exact"/>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lang w:eastAsia="zh-CN"/>
        </w:rPr>
        <w:t>监测预警组</w:t>
      </w:r>
      <w:r>
        <w:rPr>
          <w:rFonts w:hint="eastAsia" w:ascii="仿宋_GB2312" w:hAnsi="宋体" w:eastAsia="仿宋_GB2312" w:cs="宋体"/>
          <w:color w:val="auto"/>
          <w:sz w:val="32"/>
          <w:szCs w:val="32"/>
          <w:highlight w:val="none"/>
        </w:rPr>
        <w:t>对污染区域下层及周边土壤进行布点采样监测，初步判断污染物扩散趋势，划定污染范围；</w:t>
      </w:r>
    </w:p>
    <w:p>
      <w:pPr>
        <w:spacing w:line="560" w:lineRule="exact"/>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应急处置组根据</w:t>
      </w:r>
      <w:r>
        <w:rPr>
          <w:rFonts w:hint="eastAsia" w:ascii="仿宋_GB2312" w:hAnsi="宋体" w:eastAsia="仿宋_GB2312" w:cs="宋体"/>
          <w:color w:val="auto"/>
          <w:sz w:val="32"/>
          <w:szCs w:val="32"/>
          <w:highlight w:val="none"/>
          <w:lang w:eastAsia="zh-CN"/>
        </w:rPr>
        <w:t>监测预警组</w:t>
      </w:r>
      <w:r>
        <w:rPr>
          <w:rFonts w:hint="eastAsia" w:ascii="仿宋_GB2312" w:hAnsi="宋体" w:eastAsia="仿宋_GB2312" w:cs="宋体"/>
          <w:color w:val="auto"/>
          <w:sz w:val="32"/>
          <w:szCs w:val="32"/>
          <w:highlight w:val="none"/>
        </w:rPr>
        <w:t>监测、预测结果，深挖被污染区域的土壤，将受污染土壤收集起来后进行无害化处置，深挖区域覆土回填，并进行绿化。</w:t>
      </w:r>
    </w:p>
    <w:p>
      <w:pPr>
        <w:ind w:firstLine="640" w:firstLineChars="200"/>
        <w:rPr>
          <w:rFonts w:hint="eastAsia" w:eastAsia="楷体_GB2312"/>
          <w:bCs/>
          <w:color w:val="auto"/>
          <w:sz w:val="32"/>
          <w:szCs w:val="32"/>
          <w:highlight w:val="none"/>
        </w:rPr>
      </w:pPr>
      <w:r>
        <w:rPr>
          <w:rFonts w:hint="eastAsia" w:ascii="仿宋_GB2312" w:hAnsi="宋体" w:eastAsia="仿宋_GB2312" w:cs="宋体"/>
          <w:color w:val="auto"/>
          <w:sz w:val="32"/>
          <w:szCs w:val="32"/>
          <w:highlight w:val="none"/>
        </w:rPr>
        <w:t xml:space="preserve">善后处置组负责对受灾范围土壤及生态环境进行恢复。 </w:t>
      </w:r>
      <w:bookmarkStart w:id="143" w:name="_Toc477776151"/>
      <w:bookmarkStart w:id="144" w:name="_Toc2063"/>
    </w:p>
    <w:p>
      <w:pPr>
        <w:keepNext w:val="0"/>
        <w:keepLines w:val="0"/>
        <w:pageBreakBefore w:val="0"/>
        <w:widowControl w:val="0"/>
        <w:kinsoku/>
        <w:wordWrap/>
        <w:overflowPunct/>
        <w:topLinePunct w:val="0"/>
        <w:autoSpaceDE/>
        <w:autoSpaceDN/>
        <w:bidi w:val="0"/>
        <w:adjustRightInd/>
        <w:snapToGrid/>
        <w:spacing w:before="157" w:beforeLines="50"/>
        <w:textAlignment w:val="auto"/>
        <w:outlineLvl w:val="9"/>
        <w:rPr>
          <w:rFonts w:hint="eastAsia" w:eastAsia="楷体_GB2312"/>
          <w:b/>
          <w:bCs/>
          <w:color w:val="auto"/>
          <w:sz w:val="32"/>
          <w:szCs w:val="32"/>
          <w:highlight w:val="none"/>
        </w:rPr>
      </w:pPr>
      <w:r>
        <w:rPr>
          <w:rFonts w:hint="eastAsia" w:eastAsia="楷体_GB2312"/>
          <w:b/>
          <w:bCs/>
          <w:color w:val="auto"/>
          <w:sz w:val="32"/>
          <w:szCs w:val="32"/>
          <w:highlight w:val="none"/>
        </w:rPr>
        <w:t>附6.4</w:t>
      </w:r>
      <w:bookmarkStart w:id="145" w:name="_Toc466493212"/>
      <w:r>
        <w:rPr>
          <w:rFonts w:hint="eastAsia" w:eastAsia="楷体_GB2312"/>
          <w:b/>
          <w:bCs/>
          <w:color w:val="auto"/>
          <w:sz w:val="32"/>
          <w:szCs w:val="32"/>
          <w:highlight w:val="none"/>
        </w:rPr>
        <w:t xml:space="preserve"> 突发放射性污染事件</w:t>
      </w:r>
      <w:bookmarkEnd w:id="145"/>
      <w:r>
        <w:rPr>
          <w:rFonts w:hint="eastAsia" w:eastAsia="楷体_GB2312"/>
          <w:b/>
          <w:bCs/>
          <w:color w:val="auto"/>
          <w:sz w:val="32"/>
          <w:szCs w:val="32"/>
          <w:highlight w:val="none"/>
        </w:rPr>
        <w:t>应急处置原则</w:t>
      </w:r>
      <w:bookmarkEnd w:id="143"/>
      <w:bookmarkEnd w:id="144"/>
    </w:p>
    <w:p>
      <w:pPr>
        <w:spacing w:line="560" w:lineRule="exact"/>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当发生放射源丢失、被盗或失控事故时，由事故调查组负责组织协调事故救援，州生态环境局负责辐射事故调查处理和定性定级，州公安局负责放射源的追查，州卫生健康局负责安排可能受到辐射损伤人员的医疗救治。</w:t>
      </w:r>
      <w:r>
        <w:rPr>
          <w:rFonts w:hint="eastAsia" w:ascii="仿宋_GB2312" w:hAnsi="宋体" w:eastAsia="仿宋_GB2312" w:cs="宋体"/>
          <w:color w:val="auto"/>
          <w:sz w:val="32"/>
          <w:szCs w:val="32"/>
          <w:highlight w:val="none"/>
          <w:lang w:val="en-US" w:eastAsia="zh-CN"/>
        </w:rPr>
        <w:t>具体</w:t>
      </w:r>
      <w:r>
        <w:rPr>
          <w:rFonts w:hint="eastAsia" w:ascii="仿宋_GB2312" w:hAnsi="宋体" w:eastAsia="仿宋_GB2312" w:cs="宋体"/>
          <w:color w:val="auto"/>
          <w:sz w:val="32"/>
          <w:szCs w:val="32"/>
          <w:highlight w:val="none"/>
        </w:rPr>
        <w:t>相关应对工作按照事件相关应急预案规定执行。</w:t>
      </w:r>
    </w:p>
    <w:p>
      <w:pPr>
        <w:spacing w:line="560" w:lineRule="exact"/>
        <w:ind w:firstLine="600" w:firstLineChars="200"/>
        <w:rPr>
          <w:rFonts w:hint="eastAsia" w:ascii="仿宋_GB2312" w:hAnsi="宋体" w:eastAsia="仿宋_GB2312" w:cs="宋体"/>
          <w:color w:val="auto"/>
          <w:sz w:val="30"/>
          <w:szCs w:val="30"/>
          <w:highlight w:val="none"/>
        </w:rPr>
        <w:sectPr>
          <w:pgSz w:w="11906" w:h="16838"/>
          <w:pgMar w:top="1440" w:right="1483" w:bottom="1440" w:left="1383" w:header="851" w:footer="992" w:gutter="0"/>
          <w:pgNumType w:fmt="decimal"/>
          <w:cols w:space="720" w:num="1"/>
          <w:docGrid w:type="linesAndChars" w:linePitch="312" w:charSpace="0"/>
        </w:sectPr>
      </w:pPr>
    </w:p>
    <w:p>
      <w:pPr>
        <w:spacing w:line="560" w:lineRule="exact"/>
        <w:outlineLvl w:val="1"/>
        <w:rPr>
          <w:rFonts w:eastAsia="楷体_GB2312"/>
          <w:b/>
          <w:color w:val="auto"/>
          <w:sz w:val="32"/>
          <w:szCs w:val="32"/>
          <w:highlight w:val="none"/>
        </w:rPr>
      </w:pPr>
      <w:bookmarkStart w:id="146" w:name="_Toc19898"/>
      <w:bookmarkStart w:id="147" w:name="_Toc6567"/>
      <w:bookmarkStart w:id="148" w:name="_Toc454283009"/>
      <w:r>
        <w:rPr>
          <w:rFonts w:hint="eastAsia" w:eastAsia="楷体_GB2312"/>
          <w:b/>
          <w:color w:val="auto"/>
          <w:sz w:val="32"/>
          <w:szCs w:val="32"/>
          <w:highlight w:val="none"/>
        </w:rPr>
        <w:t>附件7 专家组成员名单</w:t>
      </w:r>
      <w:bookmarkEnd w:id="146"/>
      <w:bookmarkEnd w:id="147"/>
      <w:bookmarkEnd w:id="148"/>
    </w:p>
    <w:tbl>
      <w:tblPr>
        <w:tblStyle w:val="1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169"/>
        <w:gridCol w:w="1251"/>
        <w:gridCol w:w="1233"/>
        <w:gridCol w:w="1934"/>
        <w:gridCol w:w="1350"/>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序号</w:t>
            </w:r>
          </w:p>
        </w:tc>
        <w:tc>
          <w:tcPr>
            <w:tcW w:w="637"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姓名</w:t>
            </w:r>
          </w:p>
        </w:tc>
        <w:tc>
          <w:tcPr>
            <w:tcW w:w="68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sz w:val="24"/>
                <w:highlight w:val="none"/>
              </w:rPr>
              <w:t>专业</w:t>
            </w:r>
            <w:r>
              <w:rPr>
                <w:rFonts w:hint="eastAsia" w:ascii="仿宋_GB2312" w:hAnsi="仿宋_GB2312" w:eastAsia="仿宋_GB2312" w:cs="仿宋_GB2312"/>
                <w:b/>
                <w:bCs/>
                <w:color w:val="auto"/>
                <w:sz w:val="24"/>
                <w:highlight w:val="none"/>
                <w:lang w:val="en-US" w:eastAsia="zh-CN"/>
              </w:rPr>
              <w:t>领域</w:t>
            </w:r>
          </w:p>
        </w:tc>
        <w:tc>
          <w:tcPr>
            <w:tcW w:w="67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sz w:val="24"/>
                <w:highlight w:val="none"/>
              </w:rPr>
              <w:t>职务/职称</w:t>
            </w:r>
          </w:p>
        </w:tc>
        <w:tc>
          <w:tcPr>
            <w:tcW w:w="105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工作单位</w:t>
            </w:r>
          </w:p>
        </w:tc>
        <w:tc>
          <w:tcPr>
            <w:tcW w:w="736"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办公电话</w:t>
            </w:r>
          </w:p>
        </w:tc>
        <w:tc>
          <w:tcPr>
            <w:tcW w:w="871"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w:t>
            </w:r>
          </w:p>
        </w:tc>
        <w:tc>
          <w:tcPr>
            <w:tcW w:w="637"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马福波</w:t>
            </w:r>
          </w:p>
        </w:tc>
        <w:tc>
          <w:tcPr>
            <w:tcW w:w="68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化学</w:t>
            </w:r>
          </w:p>
        </w:tc>
        <w:tc>
          <w:tcPr>
            <w:tcW w:w="67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院  长</w:t>
            </w:r>
          </w:p>
        </w:tc>
        <w:tc>
          <w:tcPr>
            <w:tcW w:w="105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贵州化工研究院</w:t>
            </w:r>
          </w:p>
        </w:tc>
        <w:tc>
          <w:tcPr>
            <w:tcW w:w="736"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0851-85924016</w:t>
            </w:r>
          </w:p>
        </w:tc>
        <w:tc>
          <w:tcPr>
            <w:tcW w:w="871"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18985173068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_GB2312" w:eastAsia="仿宋_GB2312" w:cs="Times New Roman"/>
                <w:color w:val="auto"/>
                <w:sz w:val="24"/>
                <w:szCs w:val="24"/>
                <w:lang w:val="en-US" w:eastAsia="zh-CN"/>
              </w:rPr>
            </w:pPr>
            <w:r>
              <w:rPr>
                <w:rFonts w:hint="eastAsia" w:ascii="仿宋_GB2312" w:eastAsia="仿宋_GB2312" w:cs="Times New Roman"/>
                <w:color w:val="auto"/>
                <w:sz w:val="24"/>
                <w:szCs w:val="24"/>
                <w:lang w:val="en-US" w:eastAsia="zh-CN"/>
              </w:rPr>
              <w:t>2</w:t>
            </w:r>
          </w:p>
        </w:tc>
        <w:tc>
          <w:tcPr>
            <w:tcW w:w="637"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eastAsia="仿宋_GB2312" w:cs="Times New Roman"/>
                <w:color w:val="auto"/>
                <w:sz w:val="24"/>
                <w:szCs w:val="24"/>
                <w:lang w:val="en-US" w:eastAsia="zh-CN"/>
              </w:rPr>
              <w:t>葛  皓</w:t>
            </w:r>
          </w:p>
        </w:tc>
        <w:tc>
          <w:tcPr>
            <w:tcW w:w="68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生态学</w:t>
            </w:r>
          </w:p>
        </w:tc>
        <w:tc>
          <w:tcPr>
            <w:tcW w:w="67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教  授</w:t>
            </w:r>
          </w:p>
        </w:tc>
        <w:tc>
          <w:tcPr>
            <w:tcW w:w="105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贵州师范大学</w:t>
            </w:r>
          </w:p>
        </w:tc>
        <w:tc>
          <w:tcPr>
            <w:tcW w:w="736"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0851-83227351</w:t>
            </w:r>
          </w:p>
        </w:tc>
        <w:tc>
          <w:tcPr>
            <w:tcW w:w="8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eastAsia="仿宋_GB2312" w:cs="Times New Roman"/>
                <w:color w:val="auto"/>
                <w:sz w:val="24"/>
                <w:szCs w:val="24"/>
                <w:lang w:val="en-US" w:eastAsia="zh-CN"/>
              </w:rPr>
              <w:t>13885028407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w:t>
            </w:r>
          </w:p>
        </w:tc>
        <w:tc>
          <w:tcPr>
            <w:tcW w:w="637"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孙  萍</w:t>
            </w:r>
          </w:p>
        </w:tc>
        <w:tc>
          <w:tcPr>
            <w:tcW w:w="68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环境工程</w:t>
            </w:r>
          </w:p>
        </w:tc>
        <w:tc>
          <w:tcPr>
            <w:tcW w:w="67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主任工程师</w:t>
            </w:r>
          </w:p>
        </w:tc>
        <w:tc>
          <w:tcPr>
            <w:tcW w:w="105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贵阳铝镁设计研究院</w:t>
            </w:r>
          </w:p>
        </w:tc>
        <w:tc>
          <w:tcPr>
            <w:tcW w:w="736"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0851-86991540</w:t>
            </w:r>
          </w:p>
        </w:tc>
        <w:tc>
          <w:tcPr>
            <w:tcW w:w="871"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13595184666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4</w:t>
            </w:r>
          </w:p>
        </w:tc>
        <w:tc>
          <w:tcPr>
            <w:tcW w:w="637"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邵  冰</w:t>
            </w:r>
          </w:p>
        </w:tc>
        <w:tc>
          <w:tcPr>
            <w:tcW w:w="68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有机化工</w:t>
            </w:r>
          </w:p>
        </w:tc>
        <w:tc>
          <w:tcPr>
            <w:tcW w:w="67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副总工程师</w:t>
            </w:r>
          </w:p>
        </w:tc>
        <w:tc>
          <w:tcPr>
            <w:tcW w:w="105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贵州省化工设计院</w:t>
            </w:r>
          </w:p>
        </w:tc>
        <w:tc>
          <w:tcPr>
            <w:tcW w:w="736"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0851-85938119</w:t>
            </w:r>
          </w:p>
        </w:tc>
        <w:tc>
          <w:tcPr>
            <w:tcW w:w="871"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13985158111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5</w:t>
            </w:r>
          </w:p>
        </w:tc>
        <w:tc>
          <w:tcPr>
            <w:tcW w:w="637"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胡  军</w:t>
            </w:r>
          </w:p>
        </w:tc>
        <w:tc>
          <w:tcPr>
            <w:tcW w:w="68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环境地球化学</w:t>
            </w:r>
          </w:p>
        </w:tc>
        <w:tc>
          <w:tcPr>
            <w:tcW w:w="67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高级工程师</w:t>
            </w:r>
          </w:p>
        </w:tc>
        <w:tc>
          <w:tcPr>
            <w:tcW w:w="105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贵州省生态环境科学研究院</w:t>
            </w:r>
          </w:p>
        </w:tc>
        <w:tc>
          <w:tcPr>
            <w:tcW w:w="736"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0851-85521731</w:t>
            </w:r>
          </w:p>
        </w:tc>
        <w:tc>
          <w:tcPr>
            <w:tcW w:w="871"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13608572607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6</w:t>
            </w:r>
          </w:p>
        </w:tc>
        <w:tc>
          <w:tcPr>
            <w:tcW w:w="637"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default" w:ascii="Times New Roman" w:hAnsi="Times New Roman" w:eastAsia="仿宋_GB2312" w:cs="Times New Roman"/>
                <w:color w:val="auto"/>
                <w:sz w:val="24"/>
                <w:szCs w:val="24"/>
                <w:lang w:val="en-US" w:eastAsia="zh-CN"/>
              </w:rPr>
              <w:t>李</w:t>
            </w:r>
            <w:r>
              <w:rPr>
                <w:rFonts w:hint="eastAsia"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val="en-US" w:eastAsia="zh-CN"/>
              </w:rPr>
              <w:t>敏</w:t>
            </w:r>
          </w:p>
        </w:tc>
        <w:tc>
          <w:tcPr>
            <w:tcW w:w="68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环境</w:t>
            </w:r>
            <w:r>
              <w:rPr>
                <w:rFonts w:hint="eastAsia" w:ascii="仿宋_GB2312" w:hAnsi="仿宋_GB2312" w:eastAsia="仿宋_GB2312" w:cs="仿宋_GB2312"/>
                <w:color w:val="auto"/>
                <w:sz w:val="24"/>
                <w:highlight w:val="none"/>
                <w:lang w:val="en-US" w:eastAsia="zh-CN"/>
              </w:rPr>
              <w:t>科学</w:t>
            </w:r>
          </w:p>
        </w:tc>
        <w:tc>
          <w:tcPr>
            <w:tcW w:w="67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高级工程师</w:t>
            </w:r>
          </w:p>
        </w:tc>
        <w:tc>
          <w:tcPr>
            <w:tcW w:w="105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贵州省生态环境科学研究院</w:t>
            </w:r>
          </w:p>
        </w:tc>
        <w:tc>
          <w:tcPr>
            <w:tcW w:w="736"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0851-85503507</w:t>
            </w:r>
          </w:p>
        </w:tc>
        <w:tc>
          <w:tcPr>
            <w:tcW w:w="871"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default" w:ascii="仿宋_GB2312" w:hAnsi="仿宋_GB2312" w:eastAsia="仿宋_GB2312" w:cs="仿宋_GB2312"/>
                <w:color w:val="auto"/>
                <w:sz w:val="24"/>
                <w:highlight w:val="none"/>
                <w:lang w:val="en-US" w:eastAsia="zh-CN"/>
              </w:rPr>
              <w:t>13985186587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7</w:t>
            </w:r>
          </w:p>
        </w:tc>
        <w:tc>
          <w:tcPr>
            <w:tcW w:w="637"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default" w:ascii="Times New Roman" w:hAnsi="Times New Roman" w:eastAsia="仿宋_GB2312" w:cs="Times New Roman"/>
                <w:color w:val="auto"/>
                <w:sz w:val="24"/>
                <w:szCs w:val="24"/>
                <w:lang w:val="en-US" w:eastAsia="zh-CN"/>
              </w:rPr>
              <w:t>王</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val="en-US" w:eastAsia="zh-CN"/>
              </w:rPr>
              <w:t>浩</w:t>
            </w:r>
          </w:p>
        </w:tc>
        <w:tc>
          <w:tcPr>
            <w:tcW w:w="68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环境工程</w:t>
            </w:r>
          </w:p>
        </w:tc>
        <w:tc>
          <w:tcPr>
            <w:tcW w:w="67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高级工程师</w:t>
            </w:r>
          </w:p>
        </w:tc>
        <w:tc>
          <w:tcPr>
            <w:tcW w:w="105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贵州省生态环境监测中心</w:t>
            </w:r>
          </w:p>
        </w:tc>
        <w:tc>
          <w:tcPr>
            <w:tcW w:w="736"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0851-85925531</w:t>
            </w:r>
          </w:p>
        </w:tc>
        <w:tc>
          <w:tcPr>
            <w:tcW w:w="8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13985156761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8</w:t>
            </w:r>
          </w:p>
        </w:tc>
        <w:tc>
          <w:tcPr>
            <w:tcW w:w="637"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孙建琴</w:t>
            </w:r>
          </w:p>
        </w:tc>
        <w:tc>
          <w:tcPr>
            <w:tcW w:w="68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环境监测</w:t>
            </w:r>
          </w:p>
        </w:tc>
        <w:tc>
          <w:tcPr>
            <w:tcW w:w="67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总工程师</w:t>
            </w:r>
          </w:p>
        </w:tc>
        <w:tc>
          <w:tcPr>
            <w:tcW w:w="105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黔东南</w:t>
            </w:r>
            <w:r>
              <w:rPr>
                <w:rFonts w:hint="eastAsia" w:ascii="仿宋_GB2312" w:hAnsi="仿宋_GB2312" w:eastAsia="仿宋_GB2312" w:cs="仿宋_GB2312"/>
                <w:color w:val="auto"/>
                <w:sz w:val="24"/>
                <w:highlight w:val="none"/>
              </w:rPr>
              <w:t>州</w:t>
            </w:r>
            <w:r>
              <w:rPr>
                <w:rFonts w:hint="eastAsia" w:ascii="仿宋_GB2312" w:hAnsi="仿宋_GB2312" w:eastAsia="仿宋_GB2312" w:cs="仿宋_GB2312"/>
                <w:color w:val="auto"/>
                <w:sz w:val="24"/>
                <w:highlight w:val="none"/>
                <w:lang w:eastAsia="zh-CN"/>
              </w:rPr>
              <w:t>生态环境局</w:t>
            </w:r>
          </w:p>
        </w:tc>
        <w:tc>
          <w:tcPr>
            <w:tcW w:w="736"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0855-</w:t>
            </w:r>
            <w:r>
              <w:rPr>
                <w:rFonts w:hint="eastAsia" w:ascii="仿宋_GB2312" w:hAnsi="仿宋_GB2312" w:eastAsia="仿宋_GB2312" w:cs="仿宋_GB2312"/>
                <w:color w:val="auto"/>
                <w:sz w:val="24"/>
                <w:highlight w:val="none"/>
              </w:rPr>
              <w:t>8255405</w:t>
            </w:r>
          </w:p>
        </w:tc>
        <w:tc>
          <w:tcPr>
            <w:tcW w:w="8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13985291988</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18985291988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9</w:t>
            </w:r>
          </w:p>
        </w:tc>
        <w:tc>
          <w:tcPr>
            <w:tcW w:w="637"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lang w:eastAsia="zh-CN"/>
              </w:rPr>
              <w:t>兰娉婷</w:t>
            </w:r>
          </w:p>
        </w:tc>
        <w:tc>
          <w:tcPr>
            <w:tcW w:w="68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环境工程</w:t>
            </w:r>
          </w:p>
        </w:tc>
        <w:tc>
          <w:tcPr>
            <w:tcW w:w="67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高级工程师</w:t>
            </w:r>
          </w:p>
        </w:tc>
        <w:tc>
          <w:tcPr>
            <w:tcW w:w="105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黔东南州</w:t>
            </w:r>
            <w:r>
              <w:rPr>
                <w:rFonts w:hint="eastAsia" w:ascii="仿宋_GB2312" w:hAnsi="仿宋_GB2312" w:eastAsia="仿宋_GB2312" w:cs="仿宋_GB2312"/>
                <w:color w:val="auto"/>
                <w:sz w:val="24"/>
                <w:highlight w:val="none"/>
              </w:rPr>
              <w:t>生态环境</w:t>
            </w:r>
            <w:r>
              <w:rPr>
                <w:rFonts w:hint="eastAsia" w:ascii="仿宋_GB2312" w:hAnsi="仿宋_GB2312" w:eastAsia="仿宋_GB2312" w:cs="仿宋_GB2312"/>
                <w:color w:val="auto"/>
                <w:sz w:val="24"/>
                <w:highlight w:val="none"/>
                <w:lang w:val="en-US" w:eastAsia="zh-CN"/>
              </w:rPr>
              <w:t>局</w:t>
            </w:r>
          </w:p>
        </w:tc>
        <w:tc>
          <w:tcPr>
            <w:tcW w:w="736"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0855-</w:t>
            </w:r>
            <w:r>
              <w:rPr>
                <w:rFonts w:hint="eastAsia" w:ascii="仿宋_GB2312" w:hAnsi="仿宋_GB2312" w:eastAsia="仿宋_GB2312" w:cs="仿宋_GB2312"/>
                <w:color w:val="auto"/>
                <w:sz w:val="24"/>
                <w:highlight w:val="none"/>
              </w:rPr>
              <w:t>8255405</w:t>
            </w:r>
          </w:p>
        </w:tc>
        <w:tc>
          <w:tcPr>
            <w:tcW w:w="8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lang w:val="en-US" w:eastAsia="zh-CN"/>
              </w:rPr>
              <w:t>18685593920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10</w:t>
            </w:r>
          </w:p>
        </w:tc>
        <w:tc>
          <w:tcPr>
            <w:tcW w:w="637"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陈  恩</w:t>
            </w:r>
          </w:p>
        </w:tc>
        <w:tc>
          <w:tcPr>
            <w:tcW w:w="68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环境科学</w:t>
            </w:r>
          </w:p>
        </w:tc>
        <w:tc>
          <w:tcPr>
            <w:tcW w:w="67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副高级</w:t>
            </w:r>
            <w:r>
              <w:rPr>
                <w:rFonts w:hint="eastAsia" w:ascii="仿宋_GB2312" w:hAnsi="仿宋_GB2312" w:eastAsia="仿宋_GB2312" w:cs="仿宋_GB2312"/>
                <w:color w:val="auto"/>
                <w:sz w:val="24"/>
                <w:highlight w:val="none"/>
              </w:rPr>
              <w:t>工程师</w:t>
            </w:r>
          </w:p>
        </w:tc>
        <w:tc>
          <w:tcPr>
            <w:tcW w:w="105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黔东南</w:t>
            </w:r>
            <w:r>
              <w:rPr>
                <w:rFonts w:hint="eastAsia" w:ascii="仿宋_GB2312" w:hAnsi="仿宋_GB2312" w:eastAsia="仿宋_GB2312" w:cs="仿宋_GB2312"/>
                <w:color w:val="auto"/>
                <w:sz w:val="24"/>
                <w:highlight w:val="none"/>
              </w:rPr>
              <w:t>生态环境监测中心</w:t>
            </w:r>
          </w:p>
        </w:tc>
        <w:tc>
          <w:tcPr>
            <w:tcW w:w="736"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0855-</w:t>
            </w:r>
            <w:r>
              <w:rPr>
                <w:rFonts w:hint="eastAsia" w:ascii="仿宋_GB2312" w:hAnsi="仿宋_GB2312" w:eastAsia="仿宋_GB2312" w:cs="仿宋_GB2312"/>
                <w:color w:val="auto"/>
                <w:sz w:val="24"/>
                <w:highlight w:val="none"/>
              </w:rPr>
              <w:t>8235600</w:t>
            </w:r>
          </w:p>
        </w:tc>
        <w:tc>
          <w:tcPr>
            <w:tcW w:w="8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15985550317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11</w:t>
            </w:r>
          </w:p>
        </w:tc>
        <w:tc>
          <w:tcPr>
            <w:tcW w:w="637"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程昌泽</w:t>
            </w:r>
          </w:p>
        </w:tc>
        <w:tc>
          <w:tcPr>
            <w:tcW w:w="68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 xml:space="preserve">环境微生物专业 </w:t>
            </w:r>
          </w:p>
        </w:tc>
        <w:tc>
          <w:tcPr>
            <w:tcW w:w="67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副高级工程师</w:t>
            </w:r>
          </w:p>
        </w:tc>
        <w:tc>
          <w:tcPr>
            <w:tcW w:w="105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黔东南</w:t>
            </w:r>
            <w:r>
              <w:rPr>
                <w:rFonts w:hint="eastAsia" w:ascii="仿宋_GB2312" w:hAnsi="仿宋_GB2312" w:eastAsia="仿宋_GB2312" w:cs="仿宋_GB2312"/>
                <w:color w:val="auto"/>
                <w:sz w:val="24"/>
                <w:highlight w:val="none"/>
              </w:rPr>
              <w:t>生态环境监测中心</w:t>
            </w:r>
          </w:p>
        </w:tc>
        <w:tc>
          <w:tcPr>
            <w:tcW w:w="736"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0855-</w:t>
            </w:r>
            <w:r>
              <w:rPr>
                <w:rFonts w:hint="eastAsia" w:ascii="仿宋_GB2312" w:hAnsi="仿宋_GB2312" w:eastAsia="仿宋_GB2312" w:cs="仿宋_GB2312"/>
                <w:color w:val="auto"/>
                <w:sz w:val="24"/>
                <w:highlight w:val="none"/>
              </w:rPr>
              <w:t>8223397</w:t>
            </w:r>
          </w:p>
        </w:tc>
        <w:tc>
          <w:tcPr>
            <w:tcW w:w="871"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 xml:space="preserve">15121429047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12</w:t>
            </w:r>
          </w:p>
        </w:tc>
        <w:tc>
          <w:tcPr>
            <w:tcW w:w="637"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龙</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庚</w:t>
            </w:r>
          </w:p>
        </w:tc>
        <w:tc>
          <w:tcPr>
            <w:tcW w:w="68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化学</w:t>
            </w:r>
          </w:p>
        </w:tc>
        <w:tc>
          <w:tcPr>
            <w:tcW w:w="67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副高级工程师</w:t>
            </w:r>
          </w:p>
        </w:tc>
        <w:tc>
          <w:tcPr>
            <w:tcW w:w="105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黔东南州</w:t>
            </w:r>
            <w:r>
              <w:rPr>
                <w:rFonts w:hint="eastAsia" w:ascii="仿宋_GB2312" w:hAnsi="仿宋_GB2312" w:eastAsia="仿宋_GB2312" w:cs="仿宋_GB2312"/>
                <w:color w:val="auto"/>
                <w:sz w:val="24"/>
                <w:highlight w:val="none"/>
              </w:rPr>
              <w:t>辐射</w:t>
            </w:r>
            <w:r>
              <w:rPr>
                <w:rFonts w:hint="eastAsia" w:ascii="仿宋_GB2312" w:hAnsi="仿宋_GB2312" w:eastAsia="仿宋_GB2312" w:cs="仿宋_GB2312"/>
                <w:color w:val="auto"/>
                <w:sz w:val="24"/>
                <w:highlight w:val="none"/>
                <w:lang w:val="en-US" w:eastAsia="zh-CN"/>
              </w:rPr>
              <w:t>环境</w:t>
            </w:r>
            <w:r>
              <w:rPr>
                <w:rFonts w:hint="eastAsia" w:ascii="仿宋_GB2312" w:hAnsi="仿宋_GB2312" w:eastAsia="仿宋_GB2312" w:cs="仿宋_GB2312"/>
                <w:color w:val="auto"/>
                <w:sz w:val="24"/>
                <w:highlight w:val="none"/>
              </w:rPr>
              <w:t>监测站</w:t>
            </w:r>
          </w:p>
        </w:tc>
        <w:tc>
          <w:tcPr>
            <w:tcW w:w="736"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0855-</w:t>
            </w:r>
            <w:r>
              <w:rPr>
                <w:rFonts w:hint="eastAsia" w:ascii="仿宋_GB2312" w:hAnsi="仿宋_GB2312" w:eastAsia="仿宋_GB2312" w:cs="仿宋_GB2312"/>
                <w:color w:val="auto"/>
                <w:sz w:val="24"/>
                <w:highlight w:val="none"/>
              </w:rPr>
              <w:t>8232526</w:t>
            </w:r>
          </w:p>
        </w:tc>
        <w:tc>
          <w:tcPr>
            <w:tcW w:w="871"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 xml:space="preserve">13885501544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13</w:t>
            </w:r>
          </w:p>
        </w:tc>
        <w:tc>
          <w:tcPr>
            <w:tcW w:w="637"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姚智琴</w:t>
            </w:r>
          </w:p>
        </w:tc>
        <w:tc>
          <w:tcPr>
            <w:tcW w:w="68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陆地水文</w:t>
            </w:r>
          </w:p>
        </w:tc>
        <w:tc>
          <w:tcPr>
            <w:tcW w:w="67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工程师</w:t>
            </w:r>
          </w:p>
        </w:tc>
        <w:tc>
          <w:tcPr>
            <w:tcW w:w="105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黔东南</w:t>
            </w:r>
            <w:r>
              <w:rPr>
                <w:rFonts w:hint="eastAsia" w:ascii="仿宋_GB2312" w:hAnsi="仿宋_GB2312" w:eastAsia="仿宋_GB2312" w:cs="仿宋_GB2312"/>
                <w:color w:val="auto"/>
                <w:sz w:val="24"/>
                <w:highlight w:val="none"/>
              </w:rPr>
              <w:t>州水文水资源局</w:t>
            </w:r>
          </w:p>
        </w:tc>
        <w:tc>
          <w:tcPr>
            <w:tcW w:w="736"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0855-</w:t>
            </w:r>
            <w:r>
              <w:rPr>
                <w:rFonts w:hint="eastAsia" w:ascii="仿宋_GB2312" w:hAnsi="仿宋_GB2312" w:eastAsia="仿宋_GB2312" w:cs="仿宋_GB2312"/>
                <w:color w:val="auto"/>
                <w:sz w:val="24"/>
                <w:highlight w:val="none"/>
              </w:rPr>
              <w:t>8236315</w:t>
            </w:r>
          </w:p>
        </w:tc>
        <w:tc>
          <w:tcPr>
            <w:tcW w:w="871"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13885568939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14</w:t>
            </w:r>
          </w:p>
        </w:tc>
        <w:tc>
          <w:tcPr>
            <w:tcW w:w="637"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刘文峰</w:t>
            </w:r>
          </w:p>
        </w:tc>
        <w:tc>
          <w:tcPr>
            <w:tcW w:w="68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土壤与植物营养</w:t>
            </w:r>
          </w:p>
        </w:tc>
        <w:tc>
          <w:tcPr>
            <w:tcW w:w="67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高级农艺师</w:t>
            </w:r>
          </w:p>
        </w:tc>
        <w:tc>
          <w:tcPr>
            <w:tcW w:w="105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黔东南</w:t>
            </w:r>
            <w:r>
              <w:rPr>
                <w:rFonts w:hint="eastAsia" w:ascii="仿宋_GB2312" w:hAnsi="仿宋_GB2312" w:eastAsia="仿宋_GB2312" w:cs="仿宋_GB2312"/>
                <w:color w:val="auto"/>
                <w:sz w:val="24"/>
                <w:highlight w:val="none"/>
              </w:rPr>
              <w:t>州农产品质量安全监测中心</w:t>
            </w:r>
          </w:p>
        </w:tc>
        <w:tc>
          <w:tcPr>
            <w:tcW w:w="736"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0855-</w:t>
            </w:r>
            <w:r>
              <w:rPr>
                <w:rFonts w:hint="eastAsia" w:ascii="仿宋_GB2312" w:hAnsi="仿宋_GB2312" w:eastAsia="仿宋_GB2312" w:cs="仿宋_GB2312"/>
                <w:color w:val="auto"/>
                <w:sz w:val="24"/>
                <w:highlight w:val="none"/>
              </w:rPr>
              <w:t>8505409</w:t>
            </w:r>
          </w:p>
        </w:tc>
        <w:tc>
          <w:tcPr>
            <w:tcW w:w="871"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13885504080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4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15</w:t>
            </w:r>
          </w:p>
        </w:tc>
        <w:tc>
          <w:tcPr>
            <w:tcW w:w="637"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张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开</w:t>
            </w:r>
          </w:p>
        </w:tc>
        <w:tc>
          <w:tcPr>
            <w:tcW w:w="68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 xml:space="preserve">气象学 </w:t>
            </w:r>
          </w:p>
        </w:tc>
        <w:tc>
          <w:tcPr>
            <w:tcW w:w="67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工程师</w:t>
            </w:r>
          </w:p>
        </w:tc>
        <w:tc>
          <w:tcPr>
            <w:tcW w:w="105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黔东南</w:t>
            </w:r>
            <w:r>
              <w:rPr>
                <w:rFonts w:hint="eastAsia" w:ascii="仿宋_GB2312" w:hAnsi="仿宋_GB2312" w:eastAsia="仿宋_GB2312" w:cs="仿宋_GB2312"/>
                <w:color w:val="auto"/>
                <w:sz w:val="24"/>
                <w:highlight w:val="none"/>
              </w:rPr>
              <w:t>州气象局</w:t>
            </w:r>
          </w:p>
        </w:tc>
        <w:tc>
          <w:tcPr>
            <w:tcW w:w="736"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0855-</w:t>
            </w:r>
            <w:r>
              <w:rPr>
                <w:rFonts w:hint="eastAsia" w:ascii="仿宋_GB2312" w:hAnsi="仿宋_GB2312" w:eastAsia="仿宋_GB2312" w:cs="仿宋_GB2312"/>
                <w:color w:val="auto"/>
                <w:sz w:val="24"/>
                <w:highlight w:val="none"/>
              </w:rPr>
              <w:t>8510953</w:t>
            </w:r>
          </w:p>
        </w:tc>
        <w:tc>
          <w:tcPr>
            <w:tcW w:w="871"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18908548198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3" w:hRule="atLeast"/>
          <w:jc w:val="center"/>
        </w:trPr>
        <w:tc>
          <w:tcPr>
            <w:tcW w:w="34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16</w:t>
            </w:r>
          </w:p>
        </w:tc>
        <w:tc>
          <w:tcPr>
            <w:tcW w:w="637"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潘文卯</w:t>
            </w:r>
          </w:p>
        </w:tc>
        <w:tc>
          <w:tcPr>
            <w:tcW w:w="68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采矿工程</w:t>
            </w:r>
          </w:p>
        </w:tc>
        <w:tc>
          <w:tcPr>
            <w:tcW w:w="67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工程师</w:t>
            </w:r>
          </w:p>
        </w:tc>
        <w:tc>
          <w:tcPr>
            <w:tcW w:w="105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黔东南</w:t>
            </w:r>
            <w:r>
              <w:rPr>
                <w:rFonts w:hint="eastAsia" w:ascii="仿宋_GB2312" w:hAnsi="仿宋_GB2312" w:eastAsia="仿宋_GB2312" w:cs="仿宋_GB2312"/>
                <w:color w:val="auto"/>
                <w:sz w:val="24"/>
                <w:highlight w:val="none"/>
                <w:lang w:eastAsia="zh-CN"/>
              </w:rPr>
              <w:t>州应急</w:t>
            </w:r>
            <w:r>
              <w:rPr>
                <w:rFonts w:hint="eastAsia" w:ascii="仿宋_GB2312" w:hAnsi="仿宋_GB2312" w:eastAsia="仿宋_GB2312" w:cs="仿宋_GB2312"/>
                <w:color w:val="auto"/>
                <w:sz w:val="24"/>
                <w:highlight w:val="none"/>
                <w:lang w:val="en-US" w:eastAsia="zh-CN"/>
              </w:rPr>
              <w:t>管理</w:t>
            </w:r>
            <w:r>
              <w:rPr>
                <w:rFonts w:hint="eastAsia" w:ascii="仿宋_GB2312" w:hAnsi="仿宋_GB2312" w:eastAsia="仿宋_GB2312" w:cs="仿宋_GB2312"/>
                <w:color w:val="auto"/>
                <w:sz w:val="24"/>
                <w:highlight w:val="none"/>
                <w:lang w:eastAsia="zh-CN"/>
              </w:rPr>
              <w:t>局</w:t>
            </w:r>
          </w:p>
        </w:tc>
        <w:tc>
          <w:tcPr>
            <w:tcW w:w="736"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0855-</w:t>
            </w:r>
            <w:r>
              <w:rPr>
                <w:rFonts w:hint="eastAsia" w:ascii="仿宋_GB2312" w:hAnsi="仿宋_GB2312" w:eastAsia="仿宋_GB2312" w:cs="仿宋_GB2312"/>
                <w:color w:val="auto"/>
                <w:sz w:val="24"/>
                <w:highlight w:val="none"/>
              </w:rPr>
              <w:t>8218542</w:t>
            </w:r>
          </w:p>
        </w:tc>
        <w:tc>
          <w:tcPr>
            <w:tcW w:w="871"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15885536600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4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_GB2312" w:hAnsi="仿宋_GB2312" w:eastAsia="仿宋_GB2312" w:cs="仿宋_GB2312"/>
                <w:color w:val="auto"/>
                <w:sz w:val="24"/>
                <w:highlight w:val="none"/>
                <w:lang w:val="en-US" w:eastAsia="zh-CN"/>
              </w:rPr>
            </w:pPr>
            <w:bookmarkStart w:id="149" w:name="_Toc24917"/>
            <w:r>
              <w:rPr>
                <w:rFonts w:hint="eastAsia" w:ascii="仿宋_GB2312" w:hAnsi="仿宋_GB2312" w:eastAsia="仿宋_GB2312" w:cs="仿宋_GB2312"/>
                <w:color w:val="auto"/>
                <w:sz w:val="24"/>
                <w:highlight w:val="none"/>
                <w:lang w:val="en-US" w:eastAsia="zh-CN"/>
              </w:rPr>
              <w:t>17</w:t>
            </w:r>
          </w:p>
        </w:tc>
        <w:tc>
          <w:tcPr>
            <w:tcW w:w="637"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龙  娟</w:t>
            </w:r>
          </w:p>
        </w:tc>
        <w:tc>
          <w:tcPr>
            <w:tcW w:w="68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资源环境与城乡规划管理</w:t>
            </w:r>
          </w:p>
        </w:tc>
        <w:tc>
          <w:tcPr>
            <w:tcW w:w="672"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高级工程师</w:t>
            </w:r>
          </w:p>
        </w:tc>
        <w:tc>
          <w:tcPr>
            <w:tcW w:w="1054"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贵州隆晟环保科技有限公司</w:t>
            </w:r>
          </w:p>
        </w:tc>
        <w:tc>
          <w:tcPr>
            <w:tcW w:w="736"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w:t>
            </w:r>
          </w:p>
        </w:tc>
        <w:tc>
          <w:tcPr>
            <w:tcW w:w="871"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eastAsia="仿宋_GB2312" w:cs="Times New Roman"/>
                <w:color w:val="auto"/>
                <w:sz w:val="24"/>
                <w:szCs w:val="24"/>
                <w:lang w:val="en-US" w:eastAsia="zh-CN"/>
              </w:rPr>
              <w:t>13885581500</w:t>
            </w:r>
          </w:p>
        </w:tc>
      </w:tr>
    </w:tbl>
    <w:p>
      <w:pPr>
        <w:widowControl w:val="0"/>
        <w:autoSpaceDE w:val="0"/>
        <w:autoSpaceDN w:val="0"/>
        <w:adjustRightInd w:val="0"/>
        <w:outlineLvl w:val="1"/>
        <w:rPr>
          <w:rFonts w:hint="eastAsia" w:ascii="Times New Roman" w:hAnsi="Times New Roman" w:eastAsia="楷体_GB2312" w:cs="Times New Roman"/>
          <w:b/>
          <w:color w:val="auto"/>
          <w:kern w:val="2"/>
          <w:sz w:val="32"/>
          <w:szCs w:val="32"/>
          <w:highlight w:val="none"/>
          <w:lang w:val="en-US" w:eastAsia="zh-CN" w:bidi="ar-SA"/>
        </w:rPr>
        <w:sectPr>
          <w:pgSz w:w="11906" w:h="16838"/>
          <w:pgMar w:top="2098" w:right="1417" w:bottom="1984" w:left="1531" w:header="851" w:footer="992" w:gutter="0"/>
          <w:pgNumType w:fmt="decimal"/>
          <w:cols w:space="425" w:num="1"/>
          <w:docGrid w:type="lines" w:linePitch="312" w:charSpace="0"/>
        </w:sectPr>
      </w:pPr>
    </w:p>
    <w:p>
      <w:pPr>
        <w:widowControl w:val="0"/>
        <w:autoSpaceDE w:val="0"/>
        <w:autoSpaceDN w:val="0"/>
        <w:adjustRightInd w:val="0"/>
        <w:outlineLvl w:val="1"/>
        <w:rPr>
          <w:rFonts w:hint="eastAsia" w:ascii="楷体_GB2312" w:hAnsi="楷体_GB2312" w:eastAsia="楷体_GB2312" w:cs="楷体_GB2312"/>
          <w:b/>
          <w:bCs/>
          <w:color w:val="auto"/>
          <w:sz w:val="32"/>
          <w:szCs w:val="32"/>
          <w:highlight w:val="none"/>
          <w:lang w:val="en-US" w:eastAsia="zh-CN" w:bidi="ar-SA"/>
        </w:rPr>
      </w:pPr>
      <w:r>
        <w:rPr>
          <w:rFonts w:hint="eastAsia" w:ascii="Times New Roman" w:hAnsi="Times New Roman" w:eastAsia="楷体_GB2312" w:cs="Times New Roman"/>
          <w:b/>
          <w:color w:val="auto"/>
          <w:kern w:val="2"/>
          <w:sz w:val="32"/>
          <w:szCs w:val="32"/>
          <w:highlight w:val="none"/>
          <w:lang w:val="en-US" w:eastAsia="zh-CN" w:bidi="ar-SA"/>
        </w:rPr>
        <w:t>附件8 环境应急物资储备清单</w:t>
      </w:r>
      <w:bookmarkEnd w:id="149"/>
    </w:p>
    <w:p>
      <w:pPr>
        <w:widowControl w:val="0"/>
        <w:autoSpaceDE w:val="0"/>
        <w:autoSpaceDN w:val="0"/>
        <w:adjustRightInd w:val="0"/>
        <w:outlineLvl w:val="2"/>
        <w:rPr>
          <w:rFonts w:hint="eastAsia" w:ascii="仿宋_GB2312" w:hAnsi="仿宋_GB2312" w:eastAsia="仿宋_GB2312" w:cs="仿宋_GB2312"/>
          <w:b/>
          <w:color w:val="auto"/>
          <w:sz w:val="28"/>
          <w:szCs w:val="28"/>
          <w:highlight w:val="none"/>
          <w:lang w:val="en-US" w:eastAsia="zh-CN" w:bidi="ar-SA"/>
        </w:rPr>
      </w:pPr>
      <w:bookmarkStart w:id="150" w:name="_Toc13024"/>
      <w:r>
        <w:rPr>
          <w:rFonts w:hint="eastAsia" w:ascii="仿宋_GB2312" w:hAnsi="仿宋_GB2312" w:eastAsia="仿宋_GB2312" w:cs="仿宋_GB2312"/>
          <w:b/>
          <w:color w:val="auto"/>
          <w:kern w:val="2"/>
          <w:sz w:val="28"/>
          <w:szCs w:val="28"/>
          <w:highlight w:val="none"/>
          <w:lang w:val="en-US" w:eastAsia="zh-CN" w:bidi="ar-SA"/>
        </w:rPr>
        <w:t>附8.1</w:t>
      </w:r>
      <w:r>
        <w:rPr>
          <w:rFonts w:hint="eastAsia" w:ascii="楷体_GB2312" w:hAnsi="楷体_GB2312" w:eastAsia="楷体_GB2312" w:cs="楷体_GB2312"/>
          <w:b/>
          <w:bCs/>
          <w:color w:val="auto"/>
          <w:sz w:val="28"/>
          <w:szCs w:val="28"/>
          <w:highlight w:val="none"/>
          <w:lang w:val="en-US" w:eastAsia="zh-CN" w:bidi="ar-SA"/>
        </w:rPr>
        <w:t xml:space="preserve"> </w:t>
      </w:r>
      <w:r>
        <w:rPr>
          <w:rFonts w:hint="eastAsia" w:ascii="仿宋_GB2312" w:hAnsi="仿宋_GB2312" w:eastAsia="仿宋_GB2312" w:cs="仿宋_GB2312"/>
          <w:b/>
          <w:color w:val="auto"/>
          <w:sz w:val="28"/>
          <w:szCs w:val="28"/>
          <w:highlight w:val="none"/>
          <w:lang w:val="en-US" w:eastAsia="zh-CN" w:bidi="ar-SA"/>
        </w:rPr>
        <w:t>州级环境应急监测设备</w:t>
      </w:r>
      <w:bookmarkEnd w:id="150"/>
    </w:p>
    <w:tbl>
      <w:tblPr>
        <w:tblStyle w:val="14"/>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7"/>
        <w:gridCol w:w="948"/>
        <w:gridCol w:w="1533"/>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7" w:type="dxa"/>
            <w:noWrap w:val="0"/>
            <w:vAlign w:val="top"/>
          </w:tcPr>
          <w:p>
            <w:pPr>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名称</w:t>
            </w:r>
          </w:p>
        </w:tc>
        <w:tc>
          <w:tcPr>
            <w:tcW w:w="948" w:type="dxa"/>
            <w:noWrap w:val="0"/>
            <w:vAlign w:val="top"/>
          </w:tcPr>
          <w:p>
            <w:pPr>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数量</w:t>
            </w:r>
          </w:p>
        </w:tc>
        <w:tc>
          <w:tcPr>
            <w:tcW w:w="1533" w:type="dxa"/>
            <w:noWrap w:val="0"/>
            <w:vAlign w:val="top"/>
          </w:tcPr>
          <w:p>
            <w:pPr>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负责人</w:t>
            </w:r>
          </w:p>
        </w:tc>
        <w:tc>
          <w:tcPr>
            <w:tcW w:w="2926" w:type="dxa"/>
            <w:noWrap w:val="0"/>
            <w:vAlign w:val="top"/>
          </w:tcPr>
          <w:p>
            <w:pPr>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67" w:type="dxa"/>
            <w:noWrap w:val="0"/>
            <w:vAlign w:val="center"/>
          </w:tcPr>
          <w:p>
            <w:pPr>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便携式发光细菌毒性检测仪</w:t>
            </w:r>
          </w:p>
        </w:tc>
        <w:tc>
          <w:tcPr>
            <w:tcW w:w="948" w:type="dxa"/>
            <w:noWrap w:val="0"/>
            <w:vAlign w:val="center"/>
          </w:tcPr>
          <w:p>
            <w:pPr>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w:t>
            </w:r>
          </w:p>
        </w:tc>
        <w:tc>
          <w:tcPr>
            <w:tcW w:w="1533" w:type="dxa"/>
            <w:vMerge w:val="restart"/>
            <w:noWrap w:val="0"/>
            <w:vAlign w:val="top"/>
          </w:tcPr>
          <w:p>
            <w:pPr>
              <w:rPr>
                <w:rFonts w:hint="eastAsia" w:ascii="仿宋_GB2312" w:hAnsi="仿宋_GB2312" w:eastAsia="仿宋_GB2312" w:cs="仿宋_GB2312"/>
                <w:color w:val="auto"/>
                <w:sz w:val="28"/>
                <w:szCs w:val="28"/>
                <w:highlight w:val="none"/>
              </w:rPr>
            </w:pPr>
          </w:p>
          <w:p>
            <w:pPr>
              <w:ind w:left="439" w:leftChars="20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龙</w:t>
            </w:r>
          </w:p>
          <w:p>
            <w:pPr>
              <w:ind w:left="439" w:leftChars="209"/>
              <w:rPr>
                <w:rFonts w:hint="eastAsia" w:ascii="仿宋_GB2312" w:hAnsi="仿宋_GB2312" w:eastAsia="仿宋_GB2312" w:cs="仿宋_GB2312"/>
                <w:color w:val="auto"/>
                <w:sz w:val="32"/>
                <w:szCs w:val="32"/>
                <w:highlight w:val="none"/>
                <w:lang w:val="en-US" w:eastAsia="zh-CN"/>
              </w:rPr>
            </w:pPr>
          </w:p>
          <w:p>
            <w:pPr>
              <w:ind w:left="439" w:leftChars="209"/>
              <w:rPr>
                <w:rFonts w:hint="default" w:ascii="仿宋_GB2312" w:hAnsi="仿宋_GB2312" w:eastAsia="仿宋_GB2312" w:cs="仿宋_GB2312"/>
                <w:color w:val="auto"/>
                <w:sz w:val="44"/>
                <w:szCs w:val="44"/>
                <w:highlight w:val="none"/>
                <w:lang w:val="en-US" w:eastAsia="zh-CN"/>
              </w:rPr>
            </w:pPr>
            <w:r>
              <w:rPr>
                <w:rFonts w:hint="eastAsia" w:ascii="仿宋_GB2312" w:hAnsi="仿宋_GB2312" w:eastAsia="仿宋_GB2312" w:cs="仿宋_GB2312"/>
                <w:color w:val="auto"/>
                <w:sz w:val="32"/>
                <w:szCs w:val="32"/>
                <w:highlight w:val="none"/>
                <w:lang w:val="en-US" w:eastAsia="zh-CN"/>
              </w:rPr>
              <w:t>森</w:t>
            </w:r>
          </w:p>
        </w:tc>
        <w:tc>
          <w:tcPr>
            <w:tcW w:w="2926"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座机</w:t>
            </w:r>
            <w:r>
              <w:rPr>
                <w:rFonts w:hint="eastAsia" w:ascii="仿宋_GB2312" w:hAnsi="仿宋_GB2312" w:eastAsia="仿宋_GB2312" w:cs="仿宋_GB2312"/>
                <w:color w:val="auto"/>
                <w:sz w:val="28"/>
                <w:szCs w:val="28"/>
                <w:highlight w:val="none"/>
                <w:lang w:val="en-US" w:eastAsia="zh-CN"/>
              </w:rPr>
              <w:t>号码</w:t>
            </w:r>
            <w:r>
              <w:rPr>
                <w:rFonts w:hint="eastAsia" w:ascii="仿宋_GB2312" w:hAnsi="仿宋_GB2312" w:eastAsia="仿宋_GB2312" w:cs="仿宋_GB2312"/>
                <w:color w:val="auto"/>
                <w:sz w:val="28"/>
                <w:szCs w:val="28"/>
                <w:highlight w:val="none"/>
              </w:rPr>
              <w:t>：0855-8223397</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移动电话：</w:t>
            </w:r>
            <w:r>
              <w:rPr>
                <w:rFonts w:hint="eastAsia" w:ascii="仿宋_GB2312" w:hAnsi="仿宋_GB2312" w:eastAsia="仿宋_GB2312" w:cs="仿宋_GB2312"/>
                <w:b w:val="0"/>
                <w:bCs/>
                <w:color w:val="auto"/>
                <w:sz w:val="28"/>
                <w:szCs w:val="28"/>
                <w:highlight w:val="none"/>
              </w:rPr>
              <w:t>18085552727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67" w:type="dxa"/>
            <w:noWrap w:val="0"/>
            <w:vAlign w:val="center"/>
          </w:tcPr>
          <w:p>
            <w:pPr>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车载冷藏箱</w:t>
            </w:r>
          </w:p>
        </w:tc>
        <w:tc>
          <w:tcPr>
            <w:tcW w:w="948" w:type="dxa"/>
            <w:noWrap w:val="0"/>
            <w:vAlign w:val="center"/>
          </w:tcPr>
          <w:p>
            <w:pPr>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w:t>
            </w:r>
          </w:p>
        </w:tc>
        <w:tc>
          <w:tcPr>
            <w:tcW w:w="1533" w:type="dxa"/>
            <w:vMerge w:val="continue"/>
            <w:noWrap w:val="0"/>
            <w:vAlign w:val="top"/>
          </w:tcPr>
          <w:p>
            <w:pPr>
              <w:jc w:val="center"/>
              <w:rPr>
                <w:rFonts w:hint="eastAsia" w:ascii="仿宋_GB2312" w:hAnsi="仿宋_GB2312" w:eastAsia="仿宋_GB2312" w:cs="仿宋_GB2312"/>
                <w:color w:val="auto"/>
                <w:sz w:val="28"/>
                <w:szCs w:val="28"/>
                <w:highlight w:val="none"/>
              </w:rPr>
            </w:pPr>
          </w:p>
        </w:tc>
        <w:tc>
          <w:tcPr>
            <w:tcW w:w="2926" w:type="dxa"/>
            <w:vMerge w:val="continue"/>
            <w:noWrap w:val="0"/>
            <w:vAlign w:val="top"/>
          </w:tcPr>
          <w:p>
            <w:pPr>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67" w:type="dxa"/>
            <w:noWrap w:val="0"/>
            <w:vAlign w:val="center"/>
          </w:tcPr>
          <w:p>
            <w:pPr>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BG32000-E野外藻类分析仪</w:t>
            </w:r>
          </w:p>
        </w:tc>
        <w:tc>
          <w:tcPr>
            <w:tcW w:w="948" w:type="dxa"/>
            <w:noWrap w:val="0"/>
            <w:vAlign w:val="center"/>
          </w:tcPr>
          <w:p>
            <w:pPr>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w:t>
            </w:r>
          </w:p>
        </w:tc>
        <w:tc>
          <w:tcPr>
            <w:tcW w:w="1533" w:type="dxa"/>
            <w:vMerge w:val="continue"/>
            <w:noWrap w:val="0"/>
            <w:vAlign w:val="top"/>
          </w:tcPr>
          <w:p>
            <w:pPr>
              <w:jc w:val="center"/>
              <w:rPr>
                <w:rFonts w:hint="eastAsia" w:ascii="仿宋_GB2312" w:hAnsi="仿宋_GB2312" w:eastAsia="仿宋_GB2312" w:cs="仿宋_GB2312"/>
                <w:color w:val="auto"/>
                <w:sz w:val="28"/>
                <w:szCs w:val="28"/>
                <w:highlight w:val="none"/>
              </w:rPr>
            </w:pPr>
          </w:p>
        </w:tc>
        <w:tc>
          <w:tcPr>
            <w:tcW w:w="2926" w:type="dxa"/>
            <w:vMerge w:val="continue"/>
            <w:noWrap w:val="0"/>
            <w:vAlign w:val="top"/>
          </w:tcPr>
          <w:p>
            <w:pPr>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67" w:type="dxa"/>
            <w:noWrap w:val="0"/>
            <w:vAlign w:val="center"/>
          </w:tcPr>
          <w:p>
            <w:pPr>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ToxlRAE Pro 系列便携式气体探测器（PID）</w:t>
            </w:r>
          </w:p>
        </w:tc>
        <w:tc>
          <w:tcPr>
            <w:tcW w:w="948" w:type="dxa"/>
            <w:noWrap w:val="0"/>
            <w:vAlign w:val="center"/>
          </w:tcPr>
          <w:p>
            <w:pPr>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w:t>
            </w:r>
          </w:p>
        </w:tc>
        <w:tc>
          <w:tcPr>
            <w:tcW w:w="1533" w:type="dxa"/>
            <w:vMerge w:val="continue"/>
            <w:noWrap w:val="0"/>
            <w:vAlign w:val="top"/>
          </w:tcPr>
          <w:p>
            <w:pPr>
              <w:jc w:val="center"/>
              <w:rPr>
                <w:rFonts w:hint="eastAsia" w:ascii="仿宋_GB2312" w:hAnsi="仿宋_GB2312" w:eastAsia="仿宋_GB2312" w:cs="仿宋_GB2312"/>
                <w:color w:val="auto"/>
                <w:sz w:val="28"/>
                <w:szCs w:val="28"/>
                <w:highlight w:val="none"/>
              </w:rPr>
            </w:pPr>
          </w:p>
        </w:tc>
        <w:tc>
          <w:tcPr>
            <w:tcW w:w="2926" w:type="dxa"/>
            <w:vMerge w:val="continue"/>
            <w:noWrap w:val="0"/>
            <w:vAlign w:val="top"/>
          </w:tcPr>
          <w:p>
            <w:pPr>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67" w:type="dxa"/>
            <w:noWrap w:val="0"/>
            <w:vAlign w:val="center"/>
          </w:tcPr>
          <w:p>
            <w:pPr>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HM-5000P便携式重金属分析仪</w:t>
            </w:r>
          </w:p>
        </w:tc>
        <w:tc>
          <w:tcPr>
            <w:tcW w:w="948" w:type="dxa"/>
            <w:noWrap w:val="0"/>
            <w:vAlign w:val="center"/>
          </w:tcPr>
          <w:p>
            <w:pPr>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w:t>
            </w:r>
          </w:p>
        </w:tc>
        <w:tc>
          <w:tcPr>
            <w:tcW w:w="1533" w:type="dxa"/>
            <w:vMerge w:val="continue"/>
            <w:noWrap w:val="0"/>
            <w:vAlign w:val="top"/>
          </w:tcPr>
          <w:p>
            <w:pPr>
              <w:jc w:val="center"/>
              <w:rPr>
                <w:rFonts w:hint="eastAsia" w:ascii="仿宋_GB2312" w:hAnsi="仿宋_GB2312" w:eastAsia="仿宋_GB2312" w:cs="仿宋_GB2312"/>
                <w:color w:val="auto"/>
                <w:sz w:val="28"/>
                <w:szCs w:val="28"/>
                <w:highlight w:val="none"/>
              </w:rPr>
            </w:pPr>
          </w:p>
        </w:tc>
        <w:tc>
          <w:tcPr>
            <w:tcW w:w="2926" w:type="dxa"/>
            <w:vMerge w:val="continue"/>
            <w:noWrap w:val="0"/>
            <w:vAlign w:val="top"/>
          </w:tcPr>
          <w:p>
            <w:pPr>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67" w:type="dxa"/>
            <w:noWrap w:val="0"/>
            <w:vAlign w:val="center"/>
          </w:tcPr>
          <w:p>
            <w:pPr>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DR 1900 水质速测仪</w:t>
            </w:r>
          </w:p>
        </w:tc>
        <w:tc>
          <w:tcPr>
            <w:tcW w:w="948" w:type="dxa"/>
            <w:noWrap w:val="0"/>
            <w:vAlign w:val="center"/>
          </w:tcPr>
          <w:p>
            <w:pPr>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w:t>
            </w:r>
          </w:p>
        </w:tc>
        <w:tc>
          <w:tcPr>
            <w:tcW w:w="1533" w:type="dxa"/>
            <w:vMerge w:val="continue"/>
            <w:noWrap w:val="0"/>
            <w:vAlign w:val="top"/>
          </w:tcPr>
          <w:p>
            <w:pPr>
              <w:jc w:val="center"/>
              <w:rPr>
                <w:rFonts w:hint="eastAsia" w:ascii="仿宋_GB2312" w:hAnsi="仿宋_GB2312" w:eastAsia="仿宋_GB2312" w:cs="仿宋_GB2312"/>
                <w:color w:val="auto"/>
                <w:sz w:val="28"/>
                <w:szCs w:val="28"/>
                <w:highlight w:val="none"/>
              </w:rPr>
            </w:pPr>
          </w:p>
        </w:tc>
        <w:tc>
          <w:tcPr>
            <w:tcW w:w="2926" w:type="dxa"/>
            <w:vMerge w:val="continue"/>
            <w:noWrap w:val="0"/>
            <w:vAlign w:val="top"/>
          </w:tcPr>
          <w:p>
            <w:pPr>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67" w:type="dxa"/>
            <w:noWrap w:val="0"/>
            <w:vAlign w:val="center"/>
          </w:tcPr>
          <w:p>
            <w:pPr>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HQ系列便携式测定仪</w:t>
            </w:r>
          </w:p>
        </w:tc>
        <w:tc>
          <w:tcPr>
            <w:tcW w:w="948" w:type="dxa"/>
            <w:noWrap w:val="0"/>
            <w:vAlign w:val="center"/>
          </w:tcPr>
          <w:p>
            <w:pPr>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w:t>
            </w:r>
          </w:p>
        </w:tc>
        <w:tc>
          <w:tcPr>
            <w:tcW w:w="1533" w:type="dxa"/>
            <w:vMerge w:val="continue"/>
            <w:noWrap w:val="0"/>
            <w:vAlign w:val="top"/>
          </w:tcPr>
          <w:p>
            <w:pPr>
              <w:jc w:val="center"/>
              <w:rPr>
                <w:rFonts w:hint="eastAsia" w:ascii="仿宋_GB2312" w:hAnsi="仿宋_GB2312" w:eastAsia="仿宋_GB2312" w:cs="仿宋_GB2312"/>
                <w:color w:val="auto"/>
                <w:sz w:val="28"/>
                <w:szCs w:val="28"/>
                <w:highlight w:val="none"/>
              </w:rPr>
            </w:pPr>
          </w:p>
        </w:tc>
        <w:tc>
          <w:tcPr>
            <w:tcW w:w="2926" w:type="dxa"/>
            <w:vMerge w:val="continue"/>
            <w:noWrap w:val="0"/>
            <w:vAlign w:val="top"/>
          </w:tcPr>
          <w:p>
            <w:pPr>
              <w:jc w:val="center"/>
              <w:rPr>
                <w:rFonts w:hint="eastAsia" w:ascii="仿宋_GB2312" w:hAnsi="仿宋_GB2312" w:eastAsia="仿宋_GB2312" w:cs="仿宋_GB2312"/>
                <w:color w:val="auto"/>
                <w:sz w:val="28"/>
                <w:szCs w:val="28"/>
                <w:highlight w:val="none"/>
              </w:rPr>
            </w:pPr>
          </w:p>
        </w:tc>
      </w:tr>
    </w:tbl>
    <w:p>
      <w:pPr>
        <w:pStyle w:val="2"/>
        <w:rPr>
          <w:rFonts w:hint="eastAsia" w:ascii="黑体" w:hAnsi="黑体" w:eastAsia="黑体" w:cs="黑体"/>
          <w:color w:val="auto"/>
          <w:sz w:val="32"/>
          <w:szCs w:val="32"/>
          <w:highlight w:val="none"/>
        </w:rPr>
      </w:pPr>
    </w:p>
    <w:p>
      <w:pPr>
        <w:widowControl w:val="0"/>
        <w:autoSpaceDE w:val="0"/>
        <w:autoSpaceDN w:val="0"/>
        <w:adjustRightInd w:val="0"/>
        <w:outlineLvl w:val="2"/>
        <w:rPr>
          <w:rFonts w:hint="eastAsia" w:ascii="仿宋_GB2312" w:hAnsi="仿宋_GB2312" w:eastAsia="仿宋_GB2312" w:cs="仿宋_GB2312"/>
          <w:b/>
          <w:color w:val="auto"/>
          <w:sz w:val="28"/>
          <w:szCs w:val="28"/>
          <w:highlight w:val="none"/>
        </w:rPr>
      </w:pPr>
      <w:bookmarkStart w:id="151" w:name="_Toc9692"/>
      <w:r>
        <w:rPr>
          <w:rFonts w:hint="eastAsia" w:ascii="仿宋_GB2312" w:hAnsi="仿宋_GB2312" w:eastAsia="仿宋_GB2312" w:cs="仿宋_GB2312"/>
          <w:b/>
          <w:color w:val="auto"/>
          <w:kern w:val="2"/>
          <w:sz w:val="28"/>
          <w:szCs w:val="28"/>
          <w:highlight w:val="none"/>
          <w:lang w:val="en-US" w:eastAsia="zh-CN" w:bidi="ar-SA"/>
        </w:rPr>
        <w:t xml:space="preserve">附8.2 </w:t>
      </w:r>
      <w:r>
        <w:rPr>
          <w:rFonts w:hint="eastAsia" w:ascii="仿宋_GB2312" w:hAnsi="仿宋_GB2312" w:eastAsia="仿宋_GB2312" w:cs="仿宋_GB2312"/>
          <w:b/>
          <w:color w:val="auto"/>
          <w:sz w:val="28"/>
          <w:szCs w:val="28"/>
          <w:highlight w:val="none"/>
        </w:rPr>
        <w:t>州级环境应急物资库物资及设备清单</w:t>
      </w:r>
      <w:bookmarkEnd w:id="151"/>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储存地点：州生态环境局应急物资库</w:t>
      </w:r>
    </w:p>
    <w:p>
      <w:pPr>
        <w:keepNext w:val="0"/>
        <w:keepLines w:val="0"/>
        <w:pageBreakBefore w:val="0"/>
        <w:widowControl w:val="0"/>
        <w:kinsoku/>
        <w:wordWrap/>
        <w:overflowPunct/>
        <w:topLinePunct w:val="0"/>
        <w:autoSpaceDE/>
        <w:autoSpaceDN/>
        <w:bidi w:val="0"/>
        <w:adjustRightInd/>
        <w:snapToGrid/>
        <w:spacing w:after="157" w:afterLines="50" w:line="560" w:lineRule="exac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联系人：</w:t>
      </w:r>
      <w:r>
        <w:rPr>
          <w:rFonts w:hint="eastAsia" w:ascii="仿宋_GB2312" w:hAnsi="仿宋_GB2312" w:eastAsia="仿宋_GB2312" w:cs="仿宋_GB2312"/>
          <w:b/>
          <w:color w:val="auto"/>
          <w:sz w:val="28"/>
          <w:szCs w:val="28"/>
          <w:highlight w:val="none"/>
          <w:lang w:val="en-US" w:eastAsia="zh-CN"/>
        </w:rPr>
        <w:t>陈四强</w:t>
      </w:r>
      <w:r>
        <w:rPr>
          <w:rFonts w:hint="eastAsia" w:ascii="仿宋_GB2312" w:hAnsi="仿宋_GB2312" w:eastAsia="仿宋_GB2312" w:cs="仿宋_GB2312"/>
          <w:b/>
          <w:color w:val="auto"/>
          <w:sz w:val="28"/>
          <w:szCs w:val="28"/>
          <w:highlight w:val="none"/>
        </w:rPr>
        <w:t xml:space="preserve">  联系电话：15885123777</w:t>
      </w:r>
    </w:p>
    <w:tbl>
      <w:tblPr>
        <w:tblStyle w:val="13"/>
        <w:tblW w:w="89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57"/>
        <w:gridCol w:w="3787"/>
        <w:gridCol w:w="1866"/>
        <w:gridCol w:w="1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仿宋_GB2312" w:eastAsia="仿宋_GB2312" w:cs="仿宋_GB2312"/>
                <w:b/>
                <w:bCs/>
                <w:color w:val="auto"/>
                <w:sz w:val="24"/>
                <w:szCs w:val="24"/>
                <w:highlight w:val="none"/>
              </w:rPr>
            </w:pPr>
            <w:r>
              <w:rPr>
                <w:rFonts w:hint="default" w:ascii="仿宋_GB2312" w:hAnsi="仿宋_GB2312" w:eastAsia="仿宋_GB2312" w:cs="仿宋_GB2312"/>
                <w:b/>
                <w:bCs/>
                <w:color w:val="auto"/>
                <w:sz w:val="24"/>
                <w:szCs w:val="24"/>
                <w:highlight w:val="none"/>
                <w:lang w:val="en-US" w:eastAsia="zh-CN"/>
              </w:rPr>
              <w:t>序号</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仿宋_GB2312" w:eastAsia="仿宋_GB2312" w:cs="仿宋_GB2312"/>
                <w:b/>
                <w:bCs/>
                <w:color w:val="auto"/>
                <w:sz w:val="24"/>
                <w:szCs w:val="24"/>
                <w:highlight w:val="none"/>
              </w:rPr>
            </w:pPr>
            <w:r>
              <w:rPr>
                <w:rFonts w:hint="default" w:ascii="仿宋_GB2312" w:hAnsi="仿宋_GB2312" w:eastAsia="仿宋_GB2312" w:cs="仿宋_GB2312"/>
                <w:b/>
                <w:bCs/>
                <w:color w:val="auto"/>
                <w:sz w:val="24"/>
                <w:szCs w:val="24"/>
                <w:highlight w:val="none"/>
                <w:lang w:val="en-US" w:eastAsia="zh-CN"/>
              </w:rPr>
              <w:t>名称</w:t>
            </w:r>
          </w:p>
        </w:tc>
        <w:tc>
          <w:tcPr>
            <w:tcW w:w="1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仿宋_GB2312" w:eastAsia="仿宋_GB2312" w:cs="仿宋_GB2312"/>
                <w:b/>
                <w:bCs/>
                <w:color w:val="auto"/>
                <w:sz w:val="24"/>
                <w:szCs w:val="24"/>
                <w:highlight w:val="none"/>
              </w:rPr>
            </w:pPr>
            <w:r>
              <w:rPr>
                <w:rFonts w:hint="default" w:ascii="仿宋_GB2312" w:hAnsi="仿宋_GB2312" w:eastAsia="仿宋_GB2312" w:cs="仿宋_GB2312"/>
                <w:b/>
                <w:bCs/>
                <w:color w:val="auto"/>
                <w:sz w:val="24"/>
                <w:szCs w:val="24"/>
                <w:highlight w:val="none"/>
                <w:lang w:val="en-US" w:eastAsia="zh-CN"/>
              </w:rPr>
              <w:t>现存数量</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仿宋_GB2312" w:eastAsia="仿宋_GB2312" w:cs="仿宋_GB2312"/>
                <w:b/>
                <w:bCs/>
                <w:color w:val="auto"/>
                <w:sz w:val="24"/>
                <w:szCs w:val="24"/>
                <w:highlight w:val="none"/>
              </w:rPr>
            </w:pPr>
            <w:r>
              <w:rPr>
                <w:rFonts w:hint="default" w:ascii="仿宋_GB2312" w:hAnsi="仿宋_GB2312" w:eastAsia="仿宋_GB2312" w:cs="仿宋_GB2312"/>
                <w:b/>
                <w:bCs/>
                <w:color w:val="auto"/>
                <w:sz w:val="24"/>
                <w:szCs w:val="24"/>
                <w:highlight w:val="none"/>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1</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防化服</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20</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2</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防化手套</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50</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3</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防化护目镜</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50</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4</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防化靴</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30</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5</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KN95 防尘口罩</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50</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6</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反光安全背心</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160</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7</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防寒工作服</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20</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8</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户外雨衣</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300</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9</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防毒面罩</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10</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10</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安全绳</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5</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11</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易燃易爆气体、有毒有害气体检测仪</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2</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12</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强光手电筒</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10</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13</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探照灯</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6</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14</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单人户外睡袋</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10</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15</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单人帐篷</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10</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16</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保温水壶</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10</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17</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手持式GPS定位仪</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2</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18</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便携式移动通信终端</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4</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19</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激光测距望远镜</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1</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20</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防爆对讲机</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8</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21</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双肩背包</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10</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22</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油品专用吸油袋</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18</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23</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油品专用吸附垫</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16</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24</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移动硬盘</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1</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25</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PH试纸</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10</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26</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吸油棉</w:t>
            </w:r>
          </w:p>
        </w:tc>
        <w:tc>
          <w:tcPr>
            <w:tcW w:w="1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40</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27</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围油栏</w:t>
            </w:r>
          </w:p>
        </w:tc>
        <w:tc>
          <w:tcPr>
            <w:tcW w:w="1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12</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28</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化学品围堵栏轻型</w:t>
            </w:r>
          </w:p>
        </w:tc>
        <w:tc>
          <w:tcPr>
            <w:tcW w:w="1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20</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29</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化学品围堵栏重型</w:t>
            </w:r>
          </w:p>
        </w:tc>
        <w:tc>
          <w:tcPr>
            <w:tcW w:w="1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30</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30</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化油剂</w:t>
            </w:r>
          </w:p>
        </w:tc>
        <w:tc>
          <w:tcPr>
            <w:tcW w:w="1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10</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仿宋_GB2312" w:eastAsia="仿宋_GB2312" w:cs="仿宋_GB2312"/>
                <w:b w:val="0"/>
                <w:bCs w:val="0"/>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桶</w:t>
            </w:r>
          </w:p>
        </w:tc>
      </w:tr>
    </w:tbl>
    <w:p>
      <w:pPr>
        <w:pStyle w:val="2"/>
        <w:rPr>
          <w:rFonts w:hint="eastAsia" w:ascii="黑体" w:hAnsi="黑体" w:eastAsia="黑体" w:cs="黑体"/>
          <w:color w:val="auto"/>
          <w:sz w:val="32"/>
          <w:szCs w:val="32"/>
          <w:highlight w:val="none"/>
        </w:rPr>
      </w:pPr>
    </w:p>
    <w:p>
      <w:pPr>
        <w:pStyle w:val="2"/>
        <w:rPr>
          <w:rFonts w:hint="eastAsia" w:ascii="黑体" w:hAnsi="黑体" w:eastAsia="黑体" w:cs="黑体"/>
          <w:color w:val="auto"/>
          <w:sz w:val="32"/>
          <w:szCs w:val="32"/>
          <w:highlight w:val="none"/>
        </w:rPr>
      </w:pPr>
    </w:p>
    <w:p>
      <w:pPr>
        <w:pStyle w:val="2"/>
        <w:rPr>
          <w:rFonts w:hint="eastAsia" w:ascii="黑体" w:hAnsi="黑体" w:eastAsia="黑体" w:cs="黑体"/>
          <w:color w:val="auto"/>
          <w:sz w:val="32"/>
          <w:szCs w:val="32"/>
          <w:highlight w:val="none"/>
        </w:rPr>
        <w:sectPr>
          <w:pgSz w:w="11906" w:h="16838"/>
          <w:pgMar w:top="2098" w:right="1417" w:bottom="1984" w:left="1531"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textAlignment w:val="auto"/>
        <w:outlineLvl w:val="2"/>
        <w:rPr>
          <w:rFonts w:hint="eastAsia" w:ascii="仿宋_GB2312" w:hAnsi="仿宋_GB2312" w:eastAsia="仿宋_GB2312" w:cs="仿宋_GB2312"/>
          <w:b/>
          <w:color w:val="auto"/>
          <w:sz w:val="28"/>
          <w:szCs w:val="28"/>
          <w:highlight w:val="none"/>
        </w:rPr>
      </w:pPr>
      <w:bookmarkStart w:id="152" w:name="_Toc12288"/>
      <w:r>
        <w:rPr>
          <w:rFonts w:hint="eastAsia" w:ascii="仿宋_GB2312" w:hAnsi="仿宋_GB2312" w:eastAsia="仿宋_GB2312" w:cs="仿宋_GB2312"/>
          <w:b/>
          <w:color w:val="auto"/>
          <w:kern w:val="2"/>
          <w:sz w:val="28"/>
          <w:szCs w:val="28"/>
          <w:highlight w:val="none"/>
          <w:lang w:val="en-US" w:eastAsia="zh-CN" w:bidi="ar-SA"/>
        </w:rPr>
        <w:t xml:space="preserve">附8.3 </w:t>
      </w:r>
      <w:r>
        <w:rPr>
          <w:rFonts w:hint="eastAsia" w:ascii="仿宋_GB2312" w:hAnsi="仿宋_GB2312" w:eastAsia="仿宋_GB2312" w:cs="仿宋_GB2312"/>
          <w:b/>
          <w:color w:val="auto"/>
          <w:sz w:val="28"/>
          <w:szCs w:val="28"/>
          <w:highlight w:val="none"/>
        </w:rPr>
        <w:t>凯里片区环境应急物资库物资及设备清单</w:t>
      </w:r>
      <w:bookmarkEnd w:id="152"/>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储存地点：州生态环境局凯里分局应急物资库</w:t>
      </w:r>
    </w:p>
    <w:p>
      <w:pPr>
        <w:keepNext w:val="0"/>
        <w:keepLines w:val="0"/>
        <w:pageBreakBefore w:val="0"/>
        <w:widowControl w:val="0"/>
        <w:kinsoku/>
        <w:wordWrap/>
        <w:overflowPunct/>
        <w:topLinePunct w:val="0"/>
        <w:autoSpaceDE/>
        <w:autoSpaceDN/>
        <w:bidi w:val="0"/>
        <w:adjustRightInd/>
        <w:snapToGrid/>
        <w:spacing w:after="157" w:afterLines="50" w:line="560" w:lineRule="exac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联系人：唐菲  联系电话：15885839966</w:t>
      </w:r>
    </w:p>
    <w:tbl>
      <w:tblPr>
        <w:tblStyle w:val="14"/>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172"/>
        <w:gridCol w:w="2549"/>
        <w:gridCol w:w="1023"/>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rPr>
              <w:t>序号</w:t>
            </w:r>
          </w:p>
        </w:tc>
        <w:tc>
          <w:tcPr>
            <w:tcW w:w="21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rPr>
              <w:t>产品名称</w:t>
            </w:r>
          </w:p>
        </w:tc>
        <w:tc>
          <w:tcPr>
            <w:tcW w:w="25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rPr>
              <w:t>规格</w:t>
            </w:r>
          </w:p>
        </w:tc>
        <w:tc>
          <w:tcPr>
            <w:tcW w:w="10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rPr>
              <w:t>产地</w:t>
            </w:r>
          </w:p>
        </w:tc>
        <w:tc>
          <w:tcPr>
            <w:tcW w:w="25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color w:val="auto"/>
                <w:sz w:val="24"/>
                <w:szCs w:val="24"/>
                <w:highlight w:val="none"/>
                <w:lang w:eastAsia="zh-CN"/>
              </w:rPr>
            </w:pPr>
            <w:r>
              <w:rPr>
                <w:rFonts w:hint="default" w:ascii="仿宋_GB2312" w:hAnsi="仿宋_GB2312" w:eastAsia="仿宋_GB2312" w:cs="仿宋_GB2312"/>
                <w:b w:val="0"/>
                <w:bCs w:val="0"/>
                <w:color w:val="auto"/>
                <w:sz w:val="24"/>
                <w:szCs w:val="24"/>
                <w:highlight w:val="none"/>
                <w:lang w:val="en-US" w:eastAsia="zh-CN"/>
              </w:rPr>
              <w:t>1</w:t>
            </w:r>
          </w:p>
        </w:tc>
        <w:tc>
          <w:tcPr>
            <w:tcW w:w="21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全面罩</w:t>
            </w:r>
          </w:p>
        </w:tc>
        <w:tc>
          <w:tcPr>
            <w:tcW w:w="25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梅梅思安Advantage3100</w:t>
            </w:r>
          </w:p>
        </w:tc>
        <w:tc>
          <w:tcPr>
            <w:tcW w:w="10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中国</w:t>
            </w:r>
          </w:p>
        </w:tc>
        <w:tc>
          <w:tcPr>
            <w:tcW w:w="25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2</w:t>
            </w:r>
          </w:p>
        </w:tc>
        <w:tc>
          <w:tcPr>
            <w:tcW w:w="21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滤毒罐</w:t>
            </w:r>
          </w:p>
        </w:tc>
        <w:tc>
          <w:tcPr>
            <w:tcW w:w="25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梅思安</w:t>
            </w:r>
          </w:p>
        </w:tc>
        <w:tc>
          <w:tcPr>
            <w:tcW w:w="10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中国</w:t>
            </w:r>
          </w:p>
        </w:tc>
        <w:tc>
          <w:tcPr>
            <w:tcW w:w="25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3</w:t>
            </w:r>
          </w:p>
        </w:tc>
        <w:tc>
          <w:tcPr>
            <w:tcW w:w="21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应急现场工作服</w:t>
            </w:r>
          </w:p>
        </w:tc>
        <w:tc>
          <w:tcPr>
            <w:tcW w:w="25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狼爪5005411</w:t>
            </w:r>
          </w:p>
        </w:tc>
        <w:tc>
          <w:tcPr>
            <w:tcW w:w="10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中国</w:t>
            </w:r>
          </w:p>
        </w:tc>
        <w:tc>
          <w:tcPr>
            <w:tcW w:w="25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20套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4</w:t>
            </w:r>
          </w:p>
        </w:tc>
        <w:tc>
          <w:tcPr>
            <w:tcW w:w="21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防寒工作服</w:t>
            </w:r>
          </w:p>
        </w:tc>
        <w:tc>
          <w:tcPr>
            <w:tcW w:w="25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狼爪5002121</w:t>
            </w:r>
          </w:p>
        </w:tc>
        <w:tc>
          <w:tcPr>
            <w:tcW w:w="10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中国</w:t>
            </w:r>
          </w:p>
        </w:tc>
        <w:tc>
          <w:tcPr>
            <w:tcW w:w="25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5</w:t>
            </w:r>
          </w:p>
        </w:tc>
        <w:tc>
          <w:tcPr>
            <w:tcW w:w="21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单人帐篷</w:t>
            </w:r>
          </w:p>
        </w:tc>
        <w:tc>
          <w:tcPr>
            <w:tcW w:w="25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探路者TEDC80020</w:t>
            </w:r>
          </w:p>
        </w:tc>
        <w:tc>
          <w:tcPr>
            <w:tcW w:w="10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中国</w:t>
            </w:r>
          </w:p>
        </w:tc>
        <w:tc>
          <w:tcPr>
            <w:tcW w:w="25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6</w:t>
            </w:r>
          </w:p>
        </w:tc>
        <w:tc>
          <w:tcPr>
            <w:tcW w:w="21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会议帐篷</w:t>
            </w:r>
          </w:p>
        </w:tc>
        <w:tc>
          <w:tcPr>
            <w:tcW w:w="25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绿旋风</w:t>
            </w:r>
          </w:p>
        </w:tc>
        <w:tc>
          <w:tcPr>
            <w:tcW w:w="10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中国</w:t>
            </w:r>
          </w:p>
        </w:tc>
        <w:tc>
          <w:tcPr>
            <w:tcW w:w="25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7</w:t>
            </w:r>
          </w:p>
        </w:tc>
        <w:tc>
          <w:tcPr>
            <w:tcW w:w="21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户外睡袋</w:t>
            </w:r>
          </w:p>
        </w:tc>
        <w:tc>
          <w:tcPr>
            <w:tcW w:w="25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default" w:ascii="仿宋_GB2312" w:hAnsi="仿宋_GB2312" w:eastAsia="仿宋_GB2312" w:cs="仿宋_GB2312"/>
                <w:b w:val="0"/>
                <w:bCs/>
                <w:color w:val="auto"/>
                <w:sz w:val="24"/>
                <w:szCs w:val="24"/>
                <w:highlight w:val="none"/>
                <w:lang w:val="en-US" w:eastAsia="zh-CN"/>
              </w:rPr>
              <w:t>LMR e8ooxhu</w:t>
            </w:r>
          </w:p>
        </w:tc>
        <w:tc>
          <w:tcPr>
            <w:tcW w:w="10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中国</w:t>
            </w:r>
          </w:p>
        </w:tc>
        <w:tc>
          <w:tcPr>
            <w:tcW w:w="25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8</w:t>
            </w:r>
          </w:p>
        </w:tc>
        <w:tc>
          <w:tcPr>
            <w:tcW w:w="21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便携暖炉</w:t>
            </w:r>
          </w:p>
        </w:tc>
        <w:tc>
          <w:tcPr>
            <w:tcW w:w="25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凯玛仕 BL-1003</w:t>
            </w:r>
          </w:p>
        </w:tc>
        <w:tc>
          <w:tcPr>
            <w:tcW w:w="10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中国</w:t>
            </w:r>
          </w:p>
        </w:tc>
        <w:tc>
          <w:tcPr>
            <w:tcW w:w="25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9</w:t>
            </w:r>
          </w:p>
        </w:tc>
        <w:tc>
          <w:tcPr>
            <w:tcW w:w="21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保温水壶</w:t>
            </w:r>
          </w:p>
        </w:tc>
        <w:tc>
          <w:tcPr>
            <w:tcW w:w="25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希诺 XN-8813</w:t>
            </w:r>
          </w:p>
        </w:tc>
        <w:tc>
          <w:tcPr>
            <w:tcW w:w="10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中国</w:t>
            </w:r>
          </w:p>
        </w:tc>
        <w:tc>
          <w:tcPr>
            <w:tcW w:w="25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10</w:t>
            </w:r>
          </w:p>
        </w:tc>
        <w:tc>
          <w:tcPr>
            <w:tcW w:w="21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户外雨衣</w:t>
            </w:r>
          </w:p>
        </w:tc>
        <w:tc>
          <w:tcPr>
            <w:tcW w:w="25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default" w:ascii="仿宋_GB2312" w:hAnsi="仿宋_GB2312" w:eastAsia="仿宋_GB2312" w:cs="仿宋_GB2312"/>
                <w:b w:val="0"/>
                <w:bCs/>
                <w:color w:val="auto"/>
                <w:sz w:val="24"/>
                <w:szCs w:val="24"/>
                <w:highlight w:val="none"/>
                <w:lang w:val="en-US" w:eastAsia="zh-CN"/>
              </w:rPr>
              <w:t>Sea to Summit APONCH015D</w:t>
            </w:r>
          </w:p>
        </w:tc>
        <w:tc>
          <w:tcPr>
            <w:tcW w:w="10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中国</w:t>
            </w:r>
          </w:p>
        </w:tc>
        <w:tc>
          <w:tcPr>
            <w:tcW w:w="25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11</w:t>
            </w:r>
          </w:p>
        </w:tc>
        <w:tc>
          <w:tcPr>
            <w:tcW w:w="21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强光手电</w:t>
            </w:r>
          </w:p>
        </w:tc>
        <w:tc>
          <w:tcPr>
            <w:tcW w:w="25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default" w:ascii="仿宋_GB2312" w:hAnsi="仿宋_GB2312" w:eastAsia="仿宋_GB2312" w:cs="仿宋_GB2312"/>
                <w:b w:val="0"/>
                <w:bCs/>
                <w:color w:val="auto"/>
                <w:sz w:val="24"/>
                <w:szCs w:val="24"/>
                <w:highlight w:val="none"/>
                <w:lang w:val="en-US" w:eastAsia="zh-CN"/>
              </w:rPr>
              <w:t>SupFire HID28-35W</w:t>
            </w:r>
          </w:p>
        </w:tc>
        <w:tc>
          <w:tcPr>
            <w:tcW w:w="10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中国</w:t>
            </w:r>
          </w:p>
        </w:tc>
        <w:tc>
          <w:tcPr>
            <w:tcW w:w="25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12</w:t>
            </w:r>
          </w:p>
        </w:tc>
        <w:tc>
          <w:tcPr>
            <w:tcW w:w="21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应急照明</w:t>
            </w:r>
          </w:p>
        </w:tc>
        <w:tc>
          <w:tcPr>
            <w:tcW w:w="25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石氏电 SME-8086A</w:t>
            </w:r>
          </w:p>
        </w:tc>
        <w:tc>
          <w:tcPr>
            <w:tcW w:w="10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中国</w:t>
            </w:r>
          </w:p>
        </w:tc>
        <w:tc>
          <w:tcPr>
            <w:tcW w:w="25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13</w:t>
            </w:r>
          </w:p>
        </w:tc>
        <w:tc>
          <w:tcPr>
            <w:tcW w:w="21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激光测距望远镜</w:t>
            </w:r>
          </w:p>
        </w:tc>
        <w:tc>
          <w:tcPr>
            <w:tcW w:w="25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图柏斯200</w:t>
            </w:r>
          </w:p>
        </w:tc>
        <w:tc>
          <w:tcPr>
            <w:tcW w:w="10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中国</w:t>
            </w:r>
          </w:p>
        </w:tc>
        <w:tc>
          <w:tcPr>
            <w:tcW w:w="25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14</w:t>
            </w:r>
          </w:p>
        </w:tc>
        <w:tc>
          <w:tcPr>
            <w:tcW w:w="21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手持式GPS定位仪</w:t>
            </w:r>
          </w:p>
        </w:tc>
        <w:tc>
          <w:tcPr>
            <w:tcW w:w="25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集思宝穿越A3（UG801）</w:t>
            </w:r>
          </w:p>
        </w:tc>
        <w:tc>
          <w:tcPr>
            <w:tcW w:w="10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中国</w:t>
            </w:r>
          </w:p>
        </w:tc>
        <w:tc>
          <w:tcPr>
            <w:tcW w:w="25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15</w:t>
            </w:r>
          </w:p>
        </w:tc>
        <w:tc>
          <w:tcPr>
            <w:tcW w:w="21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防爆对讲机</w:t>
            </w:r>
          </w:p>
        </w:tc>
        <w:tc>
          <w:tcPr>
            <w:tcW w:w="25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摩托罗拉GP338</w:t>
            </w:r>
          </w:p>
        </w:tc>
        <w:tc>
          <w:tcPr>
            <w:tcW w:w="10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中国</w:t>
            </w:r>
          </w:p>
        </w:tc>
        <w:tc>
          <w:tcPr>
            <w:tcW w:w="25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16</w:t>
            </w:r>
          </w:p>
        </w:tc>
        <w:tc>
          <w:tcPr>
            <w:tcW w:w="21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柴油发电机</w:t>
            </w:r>
          </w:p>
        </w:tc>
        <w:tc>
          <w:tcPr>
            <w:tcW w:w="25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福建夸克GF-30KW</w:t>
            </w:r>
          </w:p>
        </w:tc>
        <w:tc>
          <w:tcPr>
            <w:tcW w:w="10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中国</w:t>
            </w:r>
          </w:p>
        </w:tc>
        <w:tc>
          <w:tcPr>
            <w:tcW w:w="25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17</w:t>
            </w:r>
          </w:p>
        </w:tc>
        <w:tc>
          <w:tcPr>
            <w:tcW w:w="21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医用箱及物品</w:t>
            </w:r>
          </w:p>
        </w:tc>
        <w:tc>
          <w:tcPr>
            <w:tcW w:w="25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蓝夫LF-12012</w:t>
            </w:r>
          </w:p>
        </w:tc>
        <w:tc>
          <w:tcPr>
            <w:tcW w:w="10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中国</w:t>
            </w:r>
          </w:p>
        </w:tc>
        <w:tc>
          <w:tcPr>
            <w:tcW w:w="25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18</w:t>
            </w:r>
          </w:p>
        </w:tc>
        <w:tc>
          <w:tcPr>
            <w:tcW w:w="21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活性炭</w:t>
            </w:r>
          </w:p>
        </w:tc>
        <w:tc>
          <w:tcPr>
            <w:tcW w:w="25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乐嘉康J/H2000</w:t>
            </w:r>
          </w:p>
        </w:tc>
        <w:tc>
          <w:tcPr>
            <w:tcW w:w="10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中国</w:t>
            </w:r>
          </w:p>
        </w:tc>
        <w:tc>
          <w:tcPr>
            <w:tcW w:w="25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20箱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val="0"/>
            <w:vAlign w:val="center"/>
          </w:tcPr>
          <w:p>
            <w:pPr>
              <w:jc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19</w:t>
            </w:r>
          </w:p>
        </w:tc>
        <w:tc>
          <w:tcPr>
            <w:tcW w:w="2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不锈钢潜水泵（耐酸碱）</w:t>
            </w:r>
          </w:p>
        </w:tc>
        <w:tc>
          <w:tcPr>
            <w:tcW w:w="25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新界Q(D)X40-6-1.5S</w:t>
            </w:r>
          </w:p>
        </w:tc>
        <w:tc>
          <w:tcPr>
            <w:tcW w:w="10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中国</w:t>
            </w:r>
          </w:p>
        </w:tc>
        <w:tc>
          <w:tcPr>
            <w:tcW w:w="25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val="0"/>
            <w:vAlign w:val="center"/>
          </w:tcPr>
          <w:p>
            <w:pPr>
              <w:jc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20</w:t>
            </w:r>
          </w:p>
        </w:tc>
        <w:tc>
          <w:tcPr>
            <w:tcW w:w="2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消防水袋及配件</w:t>
            </w:r>
          </w:p>
        </w:tc>
        <w:tc>
          <w:tcPr>
            <w:tcW w:w="25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山河 10-80-20</w:t>
            </w:r>
          </w:p>
        </w:tc>
        <w:tc>
          <w:tcPr>
            <w:tcW w:w="10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中国</w:t>
            </w:r>
          </w:p>
        </w:tc>
        <w:tc>
          <w:tcPr>
            <w:tcW w:w="25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10卷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val="0"/>
            <w:vAlign w:val="center"/>
          </w:tcPr>
          <w:p>
            <w:pPr>
              <w:jc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21</w:t>
            </w:r>
          </w:p>
        </w:tc>
        <w:tc>
          <w:tcPr>
            <w:tcW w:w="2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化学品吸附卷</w:t>
            </w:r>
          </w:p>
        </w:tc>
        <w:tc>
          <w:tcPr>
            <w:tcW w:w="25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default" w:ascii="仿宋_GB2312" w:hAnsi="仿宋_GB2312" w:eastAsia="仿宋_GB2312" w:cs="仿宋_GB2312"/>
                <w:b w:val="0"/>
                <w:bCs/>
                <w:color w:val="auto"/>
                <w:sz w:val="24"/>
                <w:szCs w:val="24"/>
                <w:highlight w:val="none"/>
                <w:lang w:val="en-US" w:eastAsia="zh-CN"/>
              </w:rPr>
              <w:t>NEWPIG MAT309</w:t>
            </w:r>
          </w:p>
        </w:tc>
        <w:tc>
          <w:tcPr>
            <w:tcW w:w="10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中国</w:t>
            </w:r>
          </w:p>
        </w:tc>
        <w:tc>
          <w:tcPr>
            <w:tcW w:w="25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 xml:space="preserve"> 20卷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00" w:type="dxa"/>
            <w:noWrap w:val="0"/>
            <w:vAlign w:val="center"/>
          </w:tcPr>
          <w:p>
            <w:pPr>
              <w:jc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22</w:t>
            </w:r>
          </w:p>
        </w:tc>
        <w:tc>
          <w:tcPr>
            <w:tcW w:w="2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化学品围堵栏轻型</w:t>
            </w:r>
          </w:p>
        </w:tc>
        <w:tc>
          <w:tcPr>
            <w:tcW w:w="25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default" w:ascii="仿宋_GB2312" w:hAnsi="仿宋_GB2312" w:eastAsia="仿宋_GB2312" w:cs="仿宋_GB2312"/>
                <w:b w:val="0"/>
                <w:bCs/>
                <w:color w:val="auto"/>
                <w:sz w:val="24"/>
                <w:szCs w:val="24"/>
                <w:highlight w:val="none"/>
                <w:lang w:val="en-US" w:eastAsia="zh-CN"/>
              </w:rPr>
              <w:t>NEWPIG 124CR</w:t>
            </w:r>
          </w:p>
        </w:tc>
        <w:tc>
          <w:tcPr>
            <w:tcW w:w="10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中国</w:t>
            </w:r>
          </w:p>
        </w:tc>
        <w:tc>
          <w:tcPr>
            <w:tcW w:w="25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20箱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val="0"/>
            <w:vAlign w:val="center"/>
          </w:tcPr>
          <w:p>
            <w:pPr>
              <w:jc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23</w:t>
            </w:r>
          </w:p>
        </w:tc>
        <w:tc>
          <w:tcPr>
            <w:tcW w:w="2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应急录音设备</w:t>
            </w:r>
          </w:p>
        </w:tc>
        <w:tc>
          <w:tcPr>
            <w:tcW w:w="25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飞利浦 VTR8000</w:t>
            </w:r>
          </w:p>
        </w:tc>
        <w:tc>
          <w:tcPr>
            <w:tcW w:w="10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中国</w:t>
            </w:r>
          </w:p>
        </w:tc>
        <w:tc>
          <w:tcPr>
            <w:tcW w:w="25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2台</w:t>
            </w:r>
          </w:p>
        </w:tc>
      </w:tr>
    </w:tbl>
    <w:p>
      <w:pPr>
        <w:pStyle w:val="2"/>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textAlignment w:val="auto"/>
        <w:outlineLvl w:val="2"/>
        <w:rPr>
          <w:rFonts w:hint="eastAsia" w:ascii="仿宋_GB2312" w:hAnsi="仿宋_GB2312" w:eastAsia="仿宋_GB2312" w:cs="仿宋_GB2312"/>
          <w:b/>
          <w:color w:val="auto"/>
          <w:kern w:val="2"/>
          <w:sz w:val="28"/>
          <w:szCs w:val="28"/>
          <w:highlight w:val="none"/>
          <w:lang w:val="en-US" w:eastAsia="zh-CN" w:bidi="ar-SA"/>
        </w:rPr>
      </w:pPr>
      <w:bookmarkStart w:id="153" w:name="_Toc23166"/>
      <w:r>
        <w:rPr>
          <w:rFonts w:hint="eastAsia" w:ascii="仿宋_GB2312" w:hAnsi="仿宋_GB2312" w:eastAsia="仿宋_GB2312" w:cs="仿宋_GB2312"/>
          <w:b/>
          <w:color w:val="auto"/>
          <w:kern w:val="2"/>
          <w:sz w:val="28"/>
          <w:szCs w:val="28"/>
          <w:highlight w:val="none"/>
          <w:lang w:val="en-US" w:eastAsia="zh-CN" w:bidi="ar-SA"/>
        </w:rPr>
        <w:t>附8.4 锦屏片区应急物资库物资及设备清单</w:t>
      </w:r>
      <w:bookmarkEnd w:id="153"/>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储存地点：州生态环境局锦屏分局应急物资库</w:t>
      </w:r>
    </w:p>
    <w:p>
      <w:pPr>
        <w:keepNext w:val="0"/>
        <w:keepLines w:val="0"/>
        <w:pageBreakBefore w:val="0"/>
        <w:widowControl w:val="0"/>
        <w:kinsoku/>
        <w:wordWrap/>
        <w:overflowPunct/>
        <w:topLinePunct w:val="0"/>
        <w:autoSpaceDE/>
        <w:autoSpaceDN/>
        <w:bidi w:val="0"/>
        <w:adjustRightInd/>
        <w:snapToGrid/>
        <w:spacing w:after="157" w:afterLines="50" w:line="560" w:lineRule="exac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联系人：范述木   联系电话：15285294740</w:t>
      </w:r>
    </w:p>
    <w:tbl>
      <w:tblPr>
        <w:tblStyle w:val="1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58"/>
        <w:gridCol w:w="2523"/>
        <w:gridCol w:w="2527"/>
        <w:gridCol w:w="1322"/>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rPr>
              <w:t>序号</w:t>
            </w:r>
          </w:p>
        </w:tc>
        <w:tc>
          <w:tcPr>
            <w:tcW w:w="25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rPr>
              <w:t>货物名称</w:t>
            </w:r>
          </w:p>
        </w:tc>
        <w:tc>
          <w:tcPr>
            <w:tcW w:w="25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rPr>
              <w:t>品牌型号</w:t>
            </w: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rPr>
              <w:t>产地</w:t>
            </w:r>
          </w:p>
        </w:tc>
        <w:tc>
          <w:tcPr>
            <w:tcW w:w="13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94" w:hRule="atLeast"/>
          <w:jc w:val="center"/>
        </w:trPr>
        <w:tc>
          <w:tcPr>
            <w:tcW w:w="1458" w:type="dxa"/>
            <w:shd w:val="clear" w:color="auto" w:fill="auto"/>
            <w:noWrap w:val="0"/>
            <w:vAlign w:val="center"/>
          </w:tcPr>
          <w:p>
            <w:pPr>
              <w:jc w:val="center"/>
              <w:rPr>
                <w:rFonts w:hint="eastAsia" w:ascii="仿宋_GB2312" w:hAnsi="仿宋_GB2312" w:eastAsia="仿宋_GB2312" w:cs="仿宋_GB2312"/>
                <w:b w:val="0"/>
                <w:bCs/>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1</w:t>
            </w:r>
          </w:p>
        </w:tc>
        <w:tc>
          <w:tcPr>
            <w:tcW w:w="25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空气呼吸器</w:t>
            </w:r>
          </w:p>
        </w:tc>
        <w:tc>
          <w:tcPr>
            <w:tcW w:w="25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韦弗斯SF6</w:t>
            </w: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w:t>
            </w:r>
          </w:p>
        </w:tc>
        <w:tc>
          <w:tcPr>
            <w:tcW w:w="13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1</w:t>
            </w:r>
            <w:r>
              <w:rPr>
                <w:rFonts w:hint="eastAsia" w:ascii="仿宋_GB2312" w:hAnsi="仿宋_GB2312" w:eastAsia="仿宋_GB2312" w:cs="仿宋_GB2312"/>
                <w:b w:val="0"/>
                <w:bCs/>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7" w:hRule="atLeast"/>
          <w:jc w:val="center"/>
        </w:trPr>
        <w:tc>
          <w:tcPr>
            <w:tcW w:w="1458" w:type="dxa"/>
            <w:shd w:val="clear" w:color="auto" w:fill="auto"/>
            <w:noWrap w:val="0"/>
            <w:vAlign w:val="center"/>
          </w:tcPr>
          <w:p>
            <w:pPr>
              <w:jc w:val="center"/>
              <w:rPr>
                <w:rFonts w:hint="eastAsia" w:ascii="仿宋_GB2312" w:hAnsi="仿宋_GB2312" w:eastAsia="仿宋_GB2312" w:cs="仿宋_GB2312"/>
                <w:b w:val="0"/>
                <w:bCs/>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2</w:t>
            </w:r>
          </w:p>
        </w:tc>
        <w:tc>
          <w:tcPr>
            <w:tcW w:w="25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A级气密性防化服</w:t>
            </w:r>
          </w:p>
        </w:tc>
        <w:tc>
          <w:tcPr>
            <w:tcW w:w="25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雷克兰INT604</w:t>
            </w: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w:t>
            </w:r>
          </w:p>
        </w:tc>
        <w:tc>
          <w:tcPr>
            <w:tcW w:w="13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1458" w:type="dxa"/>
            <w:shd w:val="clear" w:color="auto" w:fill="auto"/>
            <w:noWrap w:val="0"/>
            <w:vAlign w:val="center"/>
          </w:tcPr>
          <w:p>
            <w:pPr>
              <w:jc w:val="center"/>
              <w:rPr>
                <w:rFonts w:hint="eastAsia" w:ascii="仿宋_GB2312" w:hAnsi="仿宋_GB2312" w:eastAsia="仿宋_GB2312" w:cs="仿宋_GB2312"/>
                <w:b w:val="0"/>
                <w:bCs/>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3</w:t>
            </w:r>
          </w:p>
        </w:tc>
        <w:tc>
          <w:tcPr>
            <w:tcW w:w="25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防护服气密性检测仪</w:t>
            </w:r>
          </w:p>
        </w:tc>
        <w:tc>
          <w:tcPr>
            <w:tcW w:w="25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雷克兰00220</w:t>
            </w: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w:t>
            </w:r>
          </w:p>
        </w:tc>
        <w:tc>
          <w:tcPr>
            <w:tcW w:w="13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97" w:hRule="atLeast"/>
          <w:jc w:val="center"/>
        </w:trPr>
        <w:tc>
          <w:tcPr>
            <w:tcW w:w="1458" w:type="dxa"/>
            <w:shd w:val="clear" w:color="auto" w:fill="auto"/>
            <w:noWrap w:val="0"/>
            <w:vAlign w:val="center"/>
          </w:tcPr>
          <w:p>
            <w:pPr>
              <w:jc w:val="center"/>
              <w:rPr>
                <w:rFonts w:hint="eastAsia" w:ascii="仿宋_GB2312" w:hAnsi="仿宋_GB2312" w:eastAsia="仿宋_GB2312" w:cs="仿宋_GB2312"/>
                <w:b w:val="0"/>
                <w:bCs/>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4</w:t>
            </w:r>
          </w:p>
        </w:tc>
        <w:tc>
          <w:tcPr>
            <w:tcW w:w="25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全面罩</w:t>
            </w:r>
          </w:p>
        </w:tc>
        <w:tc>
          <w:tcPr>
            <w:tcW w:w="25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德尔格FPS7000</w:t>
            </w: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w:t>
            </w:r>
          </w:p>
        </w:tc>
        <w:tc>
          <w:tcPr>
            <w:tcW w:w="13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5" w:hRule="atLeast"/>
          <w:jc w:val="center"/>
        </w:trPr>
        <w:tc>
          <w:tcPr>
            <w:tcW w:w="1458" w:type="dxa"/>
            <w:shd w:val="clear" w:color="auto" w:fill="auto"/>
            <w:noWrap w:val="0"/>
            <w:vAlign w:val="center"/>
          </w:tcPr>
          <w:p>
            <w:pPr>
              <w:jc w:val="center"/>
              <w:rPr>
                <w:rFonts w:hint="eastAsia" w:ascii="仿宋_GB2312" w:hAnsi="仿宋_GB2312" w:eastAsia="仿宋_GB2312" w:cs="仿宋_GB2312"/>
                <w:b w:val="0"/>
                <w:bCs/>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5</w:t>
            </w:r>
          </w:p>
        </w:tc>
        <w:tc>
          <w:tcPr>
            <w:tcW w:w="25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滤毒罐</w:t>
            </w:r>
          </w:p>
        </w:tc>
        <w:tc>
          <w:tcPr>
            <w:tcW w:w="25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fldChar w:fldCharType="begin"/>
            </w:r>
            <w:r>
              <w:rPr>
                <w:rFonts w:hint="eastAsia" w:ascii="仿宋_GB2312" w:hAnsi="仿宋_GB2312" w:eastAsia="仿宋_GB2312" w:cs="仿宋_GB2312"/>
                <w:b w:val="0"/>
                <w:bCs/>
                <w:color w:val="auto"/>
                <w:sz w:val="24"/>
                <w:szCs w:val="24"/>
                <w:highlight w:val="none"/>
              </w:rPr>
              <w:instrText xml:space="preserve">HYPERLINK "http://www.hsesf.com/brand-16.html" \t "_blank"</w:instrText>
            </w:r>
            <w:r>
              <w:rPr>
                <w:rFonts w:hint="eastAsia" w:ascii="仿宋_GB2312" w:hAnsi="仿宋_GB2312" w:eastAsia="仿宋_GB2312" w:cs="仿宋_GB2312"/>
                <w:b w:val="0"/>
                <w:bCs/>
                <w:color w:val="auto"/>
                <w:sz w:val="24"/>
                <w:szCs w:val="24"/>
                <w:highlight w:val="none"/>
              </w:rPr>
              <w:fldChar w:fldCharType="separate"/>
            </w:r>
            <w:r>
              <w:rPr>
                <w:rFonts w:hint="eastAsia" w:ascii="仿宋_GB2312" w:hAnsi="仿宋_GB2312" w:eastAsia="仿宋_GB2312" w:cs="仿宋_GB2312"/>
                <w:b w:val="0"/>
                <w:bCs/>
                <w:color w:val="auto"/>
                <w:sz w:val="24"/>
                <w:szCs w:val="24"/>
                <w:highlight w:val="none"/>
              </w:rPr>
              <w:t>霍尼韦尔</w:t>
            </w:r>
            <w:r>
              <w:rPr>
                <w:rFonts w:hint="eastAsia" w:ascii="仿宋_GB2312" w:hAnsi="仿宋_GB2312" w:eastAsia="仿宋_GB2312" w:cs="仿宋_GB2312"/>
                <w:b w:val="0"/>
                <w:bCs/>
                <w:color w:val="auto"/>
                <w:sz w:val="24"/>
                <w:szCs w:val="24"/>
                <w:highlight w:val="none"/>
              </w:rPr>
              <w:fldChar w:fldCharType="end"/>
            </w:r>
            <w:r>
              <w:rPr>
                <w:rFonts w:hint="eastAsia" w:ascii="仿宋_GB2312" w:hAnsi="仿宋_GB2312" w:eastAsia="仿宋_GB2312" w:cs="仿宋_GB2312"/>
                <w:b w:val="0"/>
                <w:bCs/>
                <w:color w:val="auto"/>
                <w:sz w:val="24"/>
                <w:szCs w:val="24"/>
                <w:highlight w:val="none"/>
              </w:rPr>
              <w:t xml:space="preserve"> Honeywell 100800</w:t>
            </w: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w:t>
            </w:r>
          </w:p>
        </w:tc>
        <w:tc>
          <w:tcPr>
            <w:tcW w:w="13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10</w:t>
            </w:r>
            <w:r>
              <w:rPr>
                <w:rFonts w:hint="eastAsia" w:ascii="仿宋_GB2312" w:hAnsi="仿宋_GB2312" w:eastAsia="仿宋_GB2312" w:cs="仿宋_GB2312"/>
                <w:b w:val="0"/>
                <w:bCs/>
                <w:color w:val="auto"/>
                <w:sz w:val="24"/>
                <w:szCs w:val="24"/>
                <w:highlight w:val="none"/>
                <w:lang w:val="en-US" w:eastAsia="zh-CN"/>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jc w:val="center"/>
        </w:trPr>
        <w:tc>
          <w:tcPr>
            <w:tcW w:w="1458" w:type="dxa"/>
            <w:shd w:val="clear" w:color="auto" w:fill="auto"/>
            <w:noWrap w:val="0"/>
            <w:vAlign w:val="center"/>
          </w:tcPr>
          <w:p>
            <w:pPr>
              <w:jc w:val="center"/>
              <w:rPr>
                <w:rFonts w:hint="eastAsia" w:ascii="仿宋_GB2312" w:hAnsi="仿宋_GB2312" w:eastAsia="仿宋_GB2312" w:cs="仿宋_GB2312"/>
                <w:b w:val="0"/>
                <w:bCs/>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6</w:t>
            </w:r>
          </w:p>
        </w:tc>
        <w:tc>
          <w:tcPr>
            <w:tcW w:w="25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单一气体检测仪</w:t>
            </w:r>
          </w:p>
        </w:tc>
        <w:tc>
          <w:tcPr>
            <w:tcW w:w="25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科尔诺GT903-Q-CO</w:t>
            </w: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w:t>
            </w:r>
          </w:p>
        </w:tc>
        <w:tc>
          <w:tcPr>
            <w:tcW w:w="13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2" w:hRule="atLeast"/>
          <w:jc w:val="center"/>
        </w:trPr>
        <w:tc>
          <w:tcPr>
            <w:tcW w:w="1458" w:type="dxa"/>
            <w:shd w:val="clear" w:color="auto" w:fill="auto"/>
            <w:noWrap w:val="0"/>
            <w:vAlign w:val="center"/>
          </w:tcPr>
          <w:p>
            <w:pPr>
              <w:jc w:val="center"/>
              <w:rPr>
                <w:rFonts w:hint="eastAsia" w:ascii="仿宋_GB2312" w:hAnsi="仿宋_GB2312" w:eastAsia="仿宋_GB2312" w:cs="仿宋_GB2312"/>
                <w:b w:val="0"/>
                <w:bCs/>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7</w:t>
            </w:r>
          </w:p>
        </w:tc>
        <w:tc>
          <w:tcPr>
            <w:tcW w:w="25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防寒工作服</w:t>
            </w:r>
          </w:p>
        </w:tc>
        <w:tc>
          <w:tcPr>
            <w:tcW w:w="25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 狼爪</w:t>
            </w: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w:t>
            </w:r>
          </w:p>
        </w:tc>
        <w:tc>
          <w:tcPr>
            <w:tcW w:w="13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1</w:t>
            </w:r>
            <w:r>
              <w:rPr>
                <w:rFonts w:hint="eastAsia" w:ascii="仿宋_GB2312" w:hAnsi="仿宋_GB2312" w:eastAsia="仿宋_GB2312" w:cs="仿宋_GB2312"/>
                <w:b w:val="0"/>
                <w:bCs/>
                <w:color w:val="auto"/>
                <w:sz w:val="24"/>
                <w:szCs w:val="24"/>
                <w:highlight w:val="none"/>
              </w:rPr>
              <w:t>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jc w:val="center"/>
        </w:trPr>
        <w:tc>
          <w:tcPr>
            <w:tcW w:w="1458" w:type="dxa"/>
            <w:shd w:val="clear" w:color="auto" w:fill="auto"/>
            <w:noWrap w:val="0"/>
            <w:vAlign w:val="center"/>
          </w:tcPr>
          <w:p>
            <w:pPr>
              <w:jc w:val="center"/>
              <w:rPr>
                <w:rFonts w:hint="eastAsia" w:ascii="仿宋_GB2312" w:hAnsi="仿宋_GB2312" w:eastAsia="仿宋_GB2312" w:cs="仿宋_GB2312"/>
                <w:b w:val="0"/>
                <w:bCs/>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8</w:t>
            </w:r>
          </w:p>
        </w:tc>
        <w:tc>
          <w:tcPr>
            <w:tcW w:w="25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单人帐篷</w:t>
            </w:r>
          </w:p>
        </w:tc>
        <w:tc>
          <w:tcPr>
            <w:tcW w:w="25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trackman TM1206-1</w:t>
            </w: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w:t>
            </w:r>
          </w:p>
        </w:tc>
        <w:tc>
          <w:tcPr>
            <w:tcW w:w="13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6件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5" w:hRule="atLeast"/>
          <w:jc w:val="center"/>
        </w:trPr>
        <w:tc>
          <w:tcPr>
            <w:tcW w:w="1458" w:type="dxa"/>
            <w:shd w:val="clear" w:color="auto" w:fill="auto"/>
            <w:noWrap w:val="0"/>
            <w:vAlign w:val="center"/>
          </w:tcPr>
          <w:p>
            <w:pPr>
              <w:jc w:val="center"/>
              <w:rPr>
                <w:rFonts w:hint="eastAsia" w:ascii="仿宋_GB2312" w:hAnsi="仿宋_GB2312" w:eastAsia="仿宋_GB2312" w:cs="仿宋_GB2312"/>
                <w:b w:val="0"/>
                <w:bCs/>
                <w:color w:val="auto"/>
                <w:sz w:val="24"/>
                <w:szCs w:val="24"/>
                <w:highlight w:val="none"/>
              </w:rPr>
            </w:pPr>
            <w:r>
              <w:rPr>
                <w:rFonts w:hint="default" w:ascii="仿宋_GB2312" w:hAnsi="仿宋_GB2312" w:eastAsia="仿宋_GB2312" w:cs="仿宋_GB2312"/>
                <w:b w:val="0"/>
                <w:bCs w:val="0"/>
                <w:color w:val="auto"/>
                <w:sz w:val="24"/>
                <w:szCs w:val="24"/>
                <w:highlight w:val="none"/>
                <w:lang w:val="en-US" w:eastAsia="zh-CN"/>
              </w:rPr>
              <w:t>9</w:t>
            </w:r>
          </w:p>
        </w:tc>
        <w:tc>
          <w:tcPr>
            <w:tcW w:w="25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会议帐篷</w:t>
            </w:r>
          </w:p>
        </w:tc>
        <w:tc>
          <w:tcPr>
            <w:tcW w:w="25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北京京路发</w:t>
            </w: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w:t>
            </w:r>
          </w:p>
        </w:tc>
        <w:tc>
          <w:tcPr>
            <w:tcW w:w="13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3" w:hRule="atLeast"/>
          <w:jc w:val="center"/>
        </w:trPr>
        <w:tc>
          <w:tcPr>
            <w:tcW w:w="1458" w:type="dxa"/>
            <w:shd w:val="clear" w:color="auto" w:fill="auto"/>
            <w:noWrap w:val="0"/>
            <w:vAlign w:val="center"/>
          </w:tcPr>
          <w:p>
            <w:pPr>
              <w:jc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10</w:t>
            </w:r>
          </w:p>
        </w:tc>
        <w:tc>
          <w:tcPr>
            <w:tcW w:w="25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户外睡袋</w:t>
            </w:r>
          </w:p>
        </w:tc>
        <w:tc>
          <w:tcPr>
            <w:tcW w:w="25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BLACK ICE E700</w:t>
            </w: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w:t>
            </w:r>
          </w:p>
        </w:tc>
        <w:tc>
          <w:tcPr>
            <w:tcW w:w="13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6件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jc w:val="center"/>
        </w:trPr>
        <w:tc>
          <w:tcPr>
            <w:tcW w:w="1458" w:type="dxa"/>
            <w:shd w:val="clear" w:color="auto" w:fill="auto"/>
            <w:noWrap w:val="0"/>
            <w:vAlign w:val="center"/>
          </w:tcPr>
          <w:p>
            <w:pPr>
              <w:jc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11</w:t>
            </w:r>
          </w:p>
        </w:tc>
        <w:tc>
          <w:tcPr>
            <w:tcW w:w="25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便携暖炉</w:t>
            </w:r>
          </w:p>
        </w:tc>
        <w:tc>
          <w:tcPr>
            <w:tcW w:w="25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飞飞乐QNQ-181-J</w:t>
            </w: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w:t>
            </w:r>
          </w:p>
        </w:tc>
        <w:tc>
          <w:tcPr>
            <w:tcW w:w="13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7件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6" w:hRule="atLeast"/>
          <w:jc w:val="center"/>
        </w:trPr>
        <w:tc>
          <w:tcPr>
            <w:tcW w:w="1458" w:type="dxa"/>
            <w:shd w:val="clear" w:color="auto" w:fill="auto"/>
            <w:noWrap w:val="0"/>
            <w:vAlign w:val="center"/>
          </w:tcPr>
          <w:p>
            <w:pPr>
              <w:jc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12</w:t>
            </w:r>
          </w:p>
        </w:tc>
        <w:tc>
          <w:tcPr>
            <w:tcW w:w="25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保温水壶</w:t>
            </w:r>
          </w:p>
        </w:tc>
        <w:tc>
          <w:tcPr>
            <w:tcW w:w="25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哈尔斯LG-1800-5</w:t>
            </w: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w:t>
            </w:r>
          </w:p>
        </w:tc>
        <w:tc>
          <w:tcPr>
            <w:tcW w:w="13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7件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6" w:hRule="atLeast"/>
          <w:jc w:val="center"/>
        </w:trPr>
        <w:tc>
          <w:tcPr>
            <w:tcW w:w="1458" w:type="dxa"/>
            <w:shd w:val="clear" w:color="auto" w:fill="auto"/>
            <w:noWrap w:val="0"/>
            <w:vAlign w:val="center"/>
          </w:tcPr>
          <w:p>
            <w:pPr>
              <w:jc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13</w:t>
            </w:r>
          </w:p>
        </w:tc>
        <w:tc>
          <w:tcPr>
            <w:tcW w:w="25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户外雨衣</w:t>
            </w:r>
          </w:p>
        </w:tc>
        <w:tc>
          <w:tcPr>
            <w:tcW w:w="25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CAMPLEADER</w:t>
            </w: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w:t>
            </w:r>
          </w:p>
        </w:tc>
        <w:tc>
          <w:tcPr>
            <w:tcW w:w="13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7件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6" w:hRule="atLeast"/>
          <w:jc w:val="center"/>
        </w:trPr>
        <w:tc>
          <w:tcPr>
            <w:tcW w:w="1458" w:type="dxa"/>
            <w:shd w:val="clear" w:color="auto" w:fill="auto"/>
            <w:noWrap w:val="0"/>
            <w:vAlign w:val="center"/>
          </w:tcPr>
          <w:p>
            <w:pPr>
              <w:jc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14</w:t>
            </w:r>
          </w:p>
        </w:tc>
        <w:tc>
          <w:tcPr>
            <w:tcW w:w="25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强光手电</w:t>
            </w:r>
          </w:p>
        </w:tc>
        <w:tc>
          <w:tcPr>
            <w:tcW w:w="25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欧辉照明Z-JW7400</w:t>
            </w: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w:t>
            </w:r>
          </w:p>
        </w:tc>
        <w:tc>
          <w:tcPr>
            <w:tcW w:w="13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6件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6" w:hRule="atLeast"/>
          <w:jc w:val="center"/>
        </w:trPr>
        <w:tc>
          <w:tcPr>
            <w:tcW w:w="1458" w:type="dxa"/>
            <w:shd w:val="clear" w:color="auto" w:fill="auto"/>
            <w:noWrap w:val="0"/>
            <w:vAlign w:val="center"/>
          </w:tcPr>
          <w:p>
            <w:pPr>
              <w:jc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15</w:t>
            </w:r>
          </w:p>
        </w:tc>
        <w:tc>
          <w:tcPr>
            <w:tcW w:w="25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易燃易爆气体报警装置</w:t>
            </w:r>
          </w:p>
        </w:tc>
        <w:tc>
          <w:tcPr>
            <w:tcW w:w="25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科尔诺GT903-Q-EX</w:t>
            </w: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w:t>
            </w:r>
          </w:p>
        </w:tc>
        <w:tc>
          <w:tcPr>
            <w:tcW w:w="13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6" w:hRule="atLeast"/>
          <w:jc w:val="center"/>
        </w:trPr>
        <w:tc>
          <w:tcPr>
            <w:tcW w:w="1458" w:type="dxa"/>
            <w:shd w:val="clear" w:color="auto" w:fill="auto"/>
            <w:noWrap w:val="0"/>
            <w:vAlign w:val="center"/>
          </w:tcPr>
          <w:p>
            <w:pPr>
              <w:jc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16</w:t>
            </w:r>
          </w:p>
        </w:tc>
        <w:tc>
          <w:tcPr>
            <w:tcW w:w="25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有毒有害气体检测报警装置</w:t>
            </w:r>
          </w:p>
        </w:tc>
        <w:tc>
          <w:tcPr>
            <w:tcW w:w="25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梅思安Altair 4X Multigas Detector</w:t>
            </w: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w:t>
            </w:r>
          </w:p>
        </w:tc>
        <w:tc>
          <w:tcPr>
            <w:tcW w:w="13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6" w:hRule="atLeast"/>
          <w:jc w:val="center"/>
        </w:trPr>
        <w:tc>
          <w:tcPr>
            <w:tcW w:w="1458" w:type="dxa"/>
            <w:shd w:val="clear" w:color="auto" w:fill="auto"/>
            <w:noWrap w:val="0"/>
            <w:vAlign w:val="center"/>
          </w:tcPr>
          <w:p>
            <w:pPr>
              <w:jc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17</w:t>
            </w:r>
          </w:p>
        </w:tc>
        <w:tc>
          <w:tcPr>
            <w:tcW w:w="25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应急照明</w:t>
            </w:r>
          </w:p>
        </w:tc>
        <w:tc>
          <w:tcPr>
            <w:tcW w:w="25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华士光HSG6102</w:t>
            </w: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w:t>
            </w:r>
          </w:p>
        </w:tc>
        <w:tc>
          <w:tcPr>
            <w:tcW w:w="13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6" w:hRule="atLeast"/>
          <w:jc w:val="center"/>
        </w:trPr>
        <w:tc>
          <w:tcPr>
            <w:tcW w:w="1458" w:type="dxa"/>
            <w:shd w:val="clear" w:color="auto" w:fill="auto"/>
            <w:noWrap w:val="0"/>
            <w:vAlign w:val="center"/>
          </w:tcPr>
          <w:p>
            <w:pPr>
              <w:jc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18</w:t>
            </w:r>
          </w:p>
        </w:tc>
        <w:tc>
          <w:tcPr>
            <w:tcW w:w="25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激光测距望远镜</w:t>
            </w:r>
          </w:p>
        </w:tc>
        <w:tc>
          <w:tcPr>
            <w:tcW w:w="25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图雅得SP1200</w:t>
            </w: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w:t>
            </w:r>
          </w:p>
        </w:tc>
        <w:tc>
          <w:tcPr>
            <w:tcW w:w="13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6" w:hRule="atLeast"/>
          <w:jc w:val="center"/>
        </w:trPr>
        <w:tc>
          <w:tcPr>
            <w:tcW w:w="1458" w:type="dxa"/>
            <w:shd w:val="clear" w:color="auto" w:fill="auto"/>
            <w:noWrap w:val="0"/>
            <w:vAlign w:val="center"/>
          </w:tcPr>
          <w:p>
            <w:pPr>
              <w:jc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19</w:t>
            </w:r>
          </w:p>
        </w:tc>
        <w:tc>
          <w:tcPr>
            <w:tcW w:w="25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手持式GPS定位仪</w:t>
            </w:r>
          </w:p>
        </w:tc>
        <w:tc>
          <w:tcPr>
            <w:tcW w:w="25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集思宝任我游A3</w:t>
            </w: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w:t>
            </w:r>
          </w:p>
        </w:tc>
        <w:tc>
          <w:tcPr>
            <w:tcW w:w="13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6" w:hRule="atLeast"/>
          <w:jc w:val="center"/>
        </w:trPr>
        <w:tc>
          <w:tcPr>
            <w:tcW w:w="1458" w:type="dxa"/>
            <w:shd w:val="clear" w:color="auto" w:fill="auto"/>
            <w:noWrap w:val="0"/>
            <w:vAlign w:val="center"/>
          </w:tcPr>
          <w:p>
            <w:pPr>
              <w:jc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20</w:t>
            </w:r>
          </w:p>
        </w:tc>
        <w:tc>
          <w:tcPr>
            <w:tcW w:w="25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防爆对讲机</w:t>
            </w:r>
          </w:p>
        </w:tc>
        <w:tc>
          <w:tcPr>
            <w:tcW w:w="25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摩托罗拉  GP328</w:t>
            </w: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w:t>
            </w:r>
          </w:p>
        </w:tc>
        <w:tc>
          <w:tcPr>
            <w:tcW w:w="13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6" w:hRule="atLeast"/>
          <w:jc w:val="center"/>
        </w:trPr>
        <w:tc>
          <w:tcPr>
            <w:tcW w:w="1458" w:type="dxa"/>
            <w:shd w:val="clear" w:color="auto" w:fill="auto"/>
            <w:noWrap w:val="0"/>
            <w:vAlign w:val="center"/>
          </w:tcPr>
          <w:p>
            <w:pPr>
              <w:jc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21</w:t>
            </w:r>
          </w:p>
        </w:tc>
        <w:tc>
          <w:tcPr>
            <w:tcW w:w="25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辐射报警装置</w:t>
            </w:r>
          </w:p>
        </w:tc>
        <w:tc>
          <w:tcPr>
            <w:tcW w:w="25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美国华瑞PRM1100</w:t>
            </w: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w:t>
            </w:r>
          </w:p>
        </w:tc>
        <w:tc>
          <w:tcPr>
            <w:tcW w:w="13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6" w:hRule="atLeast"/>
          <w:jc w:val="center"/>
        </w:trPr>
        <w:tc>
          <w:tcPr>
            <w:tcW w:w="1458" w:type="dxa"/>
            <w:shd w:val="clear" w:color="auto" w:fill="auto"/>
            <w:noWrap w:val="0"/>
            <w:vAlign w:val="center"/>
          </w:tcPr>
          <w:p>
            <w:pPr>
              <w:jc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22</w:t>
            </w:r>
          </w:p>
        </w:tc>
        <w:tc>
          <w:tcPr>
            <w:tcW w:w="25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柴油发电机</w:t>
            </w:r>
          </w:p>
        </w:tc>
        <w:tc>
          <w:tcPr>
            <w:tcW w:w="25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上海东明DMD6500LE</w:t>
            </w: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w:t>
            </w:r>
          </w:p>
        </w:tc>
        <w:tc>
          <w:tcPr>
            <w:tcW w:w="13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2</w:t>
            </w:r>
            <w:r>
              <w:rPr>
                <w:rFonts w:hint="eastAsia" w:ascii="仿宋_GB2312" w:hAnsi="仿宋_GB2312" w:eastAsia="仿宋_GB2312" w:cs="仿宋_GB2312"/>
                <w:b w:val="0"/>
                <w:bCs/>
                <w:color w:val="auto"/>
                <w:sz w:val="24"/>
                <w:szCs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6" w:hRule="atLeast"/>
          <w:jc w:val="center"/>
        </w:trPr>
        <w:tc>
          <w:tcPr>
            <w:tcW w:w="1458" w:type="dxa"/>
            <w:shd w:val="clear" w:color="auto" w:fill="auto"/>
            <w:noWrap w:val="0"/>
            <w:vAlign w:val="center"/>
          </w:tcPr>
          <w:p>
            <w:pPr>
              <w:jc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23</w:t>
            </w:r>
          </w:p>
        </w:tc>
        <w:tc>
          <w:tcPr>
            <w:tcW w:w="25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医用箱及物品</w:t>
            </w:r>
          </w:p>
        </w:tc>
        <w:tc>
          <w:tcPr>
            <w:tcW w:w="25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保科</w:t>
            </w: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w:t>
            </w:r>
          </w:p>
        </w:tc>
        <w:tc>
          <w:tcPr>
            <w:tcW w:w="13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6" w:hRule="atLeast"/>
          <w:jc w:val="center"/>
        </w:trPr>
        <w:tc>
          <w:tcPr>
            <w:tcW w:w="14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24</w:t>
            </w:r>
          </w:p>
        </w:tc>
        <w:tc>
          <w:tcPr>
            <w:tcW w:w="25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活性炭</w:t>
            </w:r>
          </w:p>
        </w:tc>
        <w:tc>
          <w:tcPr>
            <w:tcW w:w="25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加强版精装活性炭2000g</w:t>
            </w: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w:t>
            </w:r>
          </w:p>
        </w:tc>
        <w:tc>
          <w:tcPr>
            <w:tcW w:w="13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20箱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7" w:hRule="atLeast"/>
          <w:jc w:val="center"/>
        </w:trPr>
        <w:tc>
          <w:tcPr>
            <w:tcW w:w="14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25</w:t>
            </w:r>
          </w:p>
        </w:tc>
        <w:tc>
          <w:tcPr>
            <w:tcW w:w="25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不锈钢潜水泵（耐酸碱）</w:t>
            </w:r>
          </w:p>
        </w:tc>
        <w:tc>
          <w:tcPr>
            <w:tcW w:w="25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永帆QDX40-6-1.5S</w:t>
            </w: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w:t>
            </w:r>
          </w:p>
        </w:tc>
        <w:tc>
          <w:tcPr>
            <w:tcW w:w="13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6" w:hRule="atLeast"/>
          <w:jc w:val="center"/>
        </w:trPr>
        <w:tc>
          <w:tcPr>
            <w:tcW w:w="14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26</w:t>
            </w:r>
          </w:p>
        </w:tc>
        <w:tc>
          <w:tcPr>
            <w:tcW w:w="25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消防水袋及配件</w:t>
            </w:r>
          </w:p>
        </w:tc>
        <w:tc>
          <w:tcPr>
            <w:tcW w:w="25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祥雨20-65-30</w:t>
            </w: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w:t>
            </w:r>
          </w:p>
        </w:tc>
        <w:tc>
          <w:tcPr>
            <w:tcW w:w="13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10卷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6" w:hRule="atLeast"/>
          <w:jc w:val="center"/>
        </w:trPr>
        <w:tc>
          <w:tcPr>
            <w:tcW w:w="14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27</w:t>
            </w:r>
          </w:p>
        </w:tc>
        <w:tc>
          <w:tcPr>
            <w:tcW w:w="25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化学品吸附卷</w:t>
            </w:r>
          </w:p>
        </w:tc>
        <w:tc>
          <w:tcPr>
            <w:tcW w:w="25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美国Newpig</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MAT3005</w:t>
            </w: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w:t>
            </w:r>
          </w:p>
        </w:tc>
        <w:tc>
          <w:tcPr>
            <w:tcW w:w="13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20卷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6" w:hRule="atLeast"/>
          <w:jc w:val="center"/>
        </w:trPr>
        <w:tc>
          <w:tcPr>
            <w:tcW w:w="14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28</w:t>
            </w:r>
          </w:p>
        </w:tc>
        <w:tc>
          <w:tcPr>
            <w:tcW w:w="25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化学品围堵栏轻型</w:t>
            </w:r>
          </w:p>
        </w:tc>
        <w:tc>
          <w:tcPr>
            <w:tcW w:w="25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美国Newpig 4048</w:t>
            </w: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w:t>
            </w:r>
          </w:p>
        </w:tc>
        <w:tc>
          <w:tcPr>
            <w:tcW w:w="13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20箱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6" w:hRule="atLeast"/>
          <w:jc w:val="center"/>
        </w:trPr>
        <w:tc>
          <w:tcPr>
            <w:tcW w:w="14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29</w:t>
            </w:r>
          </w:p>
        </w:tc>
        <w:tc>
          <w:tcPr>
            <w:tcW w:w="25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应急录音设备</w:t>
            </w:r>
          </w:p>
        </w:tc>
        <w:tc>
          <w:tcPr>
            <w:tcW w:w="25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纽曼</w:t>
            </w: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w:t>
            </w:r>
          </w:p>
        </w:tc>
        <w:tc>
          <w:tcPr>
            <w:tcW w:w="13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6" w:hRule="atLeast"/>
          <w:jc w:val="center"/>
        </w:trPr>
        <w:tc>
          <w:tcPr>
            <w:tcW w:w="14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30</w:t>
            </w:r>
          </w:p>
        </w:tc>
        <w:tc>
          <w:tcPr>
            <w:tcW w:w="25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台式电脑</w:t>
            </w:r>
          </w:p>
        </w:tc>
        <w:tc>
          <w:tcPr>
            <w:tcW w:w="25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戴尔</w:t>
            </w: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w:t>
            </w:r>
          </w:p>
        </w:tc>
        <w:tc>
          <w:tcPr>
            <w:tcW w:w="13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31</w:t>
            </w:r>
          </w:p>
        </w:tc>
        <w:tc>
          <w:tcPr>
            <w:tcW w:w="25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标签打印机</w:t>
            </w:r>
          </w:p>
        </w:tc>
        <w:tc>
          <w:tcPr>
            <w:tcW w:w="25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博思得</w:t>
            </w: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w:t>
            </w:r>
          </w:p>
        </w:tc>
        <w:tc>
          <w:tcPr>
            <w:tcW w:w="13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5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32</w:t>
            </w:r>
          </w:p>
        </w:tc>
        <w:tc>
          <w:tcPr>
            <w:tcW w:w="25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扫码器</w:t>
            </w:r>
          </w:p>
        </w:tc>
        <w:tc>
          <w:tcPr>
            <w:tcW w:w="25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肖邦科技</w:t>
            </w:r>
          </w:p>
        </w:tc>
        <w:tc>
          <w:tcPr>
            <w:tcW w:w="13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w:t>
            </w:r>
          </w:p>
        </w:tc>
        <w:tc>
          <w:tcPr>
            <w:tcW w:w="13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1台</w:t>
            </w:r>
          </w:p>
        </w:tc>
      </w:tr>
    </w:tbl>
    <w:p>
      <w:pPr>
        <w:pStyle w:val="2"/>
        <w:rPr>
          <w:rFonts w:hint="eastAsia" w:ascii="黑体" w:hAnsi="黑体" w:eastAsia="黑体" w:cs="黑体"/>
          <w:color w:val="auto"/>
          <w:sz w:val="32"/>
          <w:szCs w:val="32"/>
          <w:highlight w:val="none"/>
        </w:rPr>
      </w:pPr>
    </w:p>
    <w:p>
      <w:pPr>
        <w:widowControl/>
        <w:spacing w:line="600" w:lineRule="exact"/>
        <w:rPr>
          <w:rFonts w:hint="eastAsia" w:ascii="黑体" w:hAnsi="黑体" w:eastAsia="黑体" w:cs="黑体"/>
          <w:color w:val="auto"/>
          <w:sz w:val="32"/>
          <w:szCs w:val="32"/>
          <w:highlight w:val="none"/>
        </w:rPr>
        <w:sectPr>
          <w:pgSz w:w="11906" w:h="16838"/>
          <w:pgMar w:top="2098" w:right="1417" w:bottom="1984" w:left="1531"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spacing w:after="0" w:afterLines="0"/>
        <w:textAlignment w:val="auto"/>
        <w:outlineLvl w:val="1"/>
        <w:rPr>
          <w:rFonts w:hint="default" w:ascii="楷体_GB2312" w:hAnsi="楷体_GB2312" w:eastAsia="楷体_GB2312" w:cs="楷体_GB2312"/>
          <w:b/>
          <w:color w:val="auto"/>
          <w:sz w:val="32"/>
          <w:szCs w:val="32"/>
          <w:highlight w:val="none"/>
          <w:lang w:val="en-US" w:eastAsia="zh-CN" w:bidi="ar-SA"/>
        </w:rPr>
      </w:pPr>
      <w:bookmarkStart w:id="154" w:name="_Toc27058"/>
      <w:r>
        <w:rPr>
          <w:rFonts w:hint="eastAsia" w:ascii="楷体_GB2312" w:hAnsi="楷体_GB2312" w:eastAsia="楷体_GB2312" w:cs="楷体_GB2312"/>
          <w:b/>
          <w:color w:val="auto"/>
          <w:sz w:val="32"/>
          <w:szCs w:val="32"/>
          <w:highlight w:val="none"/>
          <w:lang w:val="en-US" w:eastAsia="zh-CN" w:bidi="ar-SA"/>
        </w:rPr>
        <w:t>附件9 州生态环境安全应急指挥部成员单位联系方式</w:t>
      </w:r>
      <w:bookmarkEnd w:id="154"/>
    </w:p>
    <w:tbl>
      <w:tblPr>
        <w:tblStyle w:val="1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3441"/>
        <w:gridCol w:w="2466"/>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序号</w:t>
            </w:r>
          </w:p>
        </w:tc>
        <w:tc>
          <w:tcPr>
            <w:tcW w:w="344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单位名称</w:t>
            </w:r>
          </w:p>
        </w:tc>
        <w:tc>
          <w:tcPr>
            <w:tcW w:w="24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val="0"/>
                <w:color w:val="auto"/>
                <w:sz w:val="24"/>
                <w:szCs w:val="24"/>
                <w:highlight w:val="none"/>
                <w:lang w:eastAsia="zh-CN"/>
              </w:rPr>
            </w:pPr>
            <w:r>
              <w:rPr>
                <w:rFonts w:hint="eastAsia" w:ascii="仿宋_GB2312" w:hAnsi="仿宋_GB2312" w:eastAsia="仿宋_GB2312" w:cs="仿宋_GB2312"/>
                <w:b/>
                <w:bCs w:val="0"/>
                <w:color w:val="auto"/>
                <w:sz w:val="24"/>
                <w:szCs w:val="24"/>
                <w:highlight w:val="none"/>
              </w:rPr>
              <w:t>联系电话</w:t>
            </w:r>
            <w:r>
              <w:rPr>
                <w:rFonts w:hint="eastAsia" w:ascii="仿宋_GB2312" w:hAnsi="仿宋_GB2312" w:eastAsia="仿宋_GB2312" w:cs="仿宋_GB2312"/>
                <w:b/>
                <w:bCs w:val="0"/>
                <w:color w:val="auto"/>
                <w:sz w:val="24"/>
                <w:szCs w:val="24"/>
                <w:highlight w:val="none"/>
                <w:lang w:eastAsia="zh-CN"/>
              </w:rPr>
              <w:t>（</w:t>
            </w:r>
            <w:r>
              <w:rPr>
                <w:rFonts w:hint="eastAsia" w:ascii="仿宋_GB2312" w:hAnsi="仿宋_GB2312" w:eastAsia="仿宋_GB2312" w:cs="仿宋_GB2312"/>
                <w:b/>
                <w:bCs w:val="0"/>
                <w:color w:val="auto"/>
                <w:sz w:val="24"/>
                <w:szCs w:val="24"/>
                <w:highlight w:val="none"/>
                <w:lang w:val="en-US" w:eastAsia="zh-CN"/>
              </w:rPr>
              <w:t>0855-</w:t>
            </w:r>
            <w:r>
              <w:rPr>
                <w:rFonts w:hint="eastAsia" w:ascii="仿宋_GB2312" w:hAnsi="仿宋_GB2312" w:eastAsia="仿宋_GB2312" w:cs="仿宋_GB2312"/>
                <w:b/>
                <w:bCs w:val="0"/>
                <w:color w:val="auto"/>
                <w:sz w:val="24"/>
                <w:szCs w:val="24"/>
                <w:highlight w:val="none"/>
                <w:lang w:eastAsia="zh-CN"/>
              </w:rPr>
              <w:t>）</w:t>
            </w:r>
          </w:p>
        </w:tc>
        <w:tc>
          <w:tcPr>
            <w:tcW w:w="209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w:t>
            </w:r>
          </w:p>
        </w:tc>
        <w:tc>
          <w:tcPr>
            <w:tcW w:w="344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黔东南州生态环境局</w:t>
            </w:r>
          </w:p>
        </w:tc>
        <w:tc>
          <w:tcPr>
            <w:tcW w:w="24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8221064</w:t>
            </w:r>
          </w:p>
        </w:tc>
        <w:tc>
          <w:tcPr>
            <w:tcW w:w="209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8220791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w:t>
            </w:r>
          </w:p>
        </w:tc>
        <w:tc>
          <w:tcPr>
            <w:tcW w:w="344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黔东南州应急管理局</w:t>
            </w:r>
          </w:p>
        </w:tc>
        <w:tc>
          <w:tcPr>
            <w:tcW w:w="24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8225155</w:t>
            </w:r>
          </w:p>
        </w:tc>
        <w:tc>
          <w:tcPr>
            <w:tcW w:w="209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8218261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val="en-US" w:eastAsia="zh-CN"/>
              </w:rPr>
              <w:t>3</w:t>
            </w:r>
          </w:p>
        </w:tc>
        <w:tc>
          <w:tcPr>
            <w:tcW w:w="344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州委政法委</w:t>
            </w:r>
          </w:p>
        </w:tc>
        <w:tc>
          <w:tcPr>
            <w:tcW w:w="24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8222010</w:t>
            </w:r>
          </w:p>
        </w:tc>
        <w:tc>
          <w:tcPr>
            <w:tcW w:w="209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val="en-US" w:eastAsia="zh-CN"/>
              </w:rPr>
              <w:t>4</w:t>
            </w:r>
          </w:p>
        </w:tc>
        <w:tc>
          <w:tcPr>
            <w:tcW w:w="344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黔东南州发展改革委</w:t>
            </w:r>
          </w:p>
        </w:tc>
        <w:tc>
          <w:tcPr>
            <w:tcW w:w="24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8222804</w:t>
            </w:r>
          </w:p>
        </w:tc>
        <w:tc>
          <w:tcPr>
            <w:tcW w:w="209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val="en-US" w:eastAsia="zh-CN"/>
              </w:rPr>
              <w:t>5</w:t>
            </w:r>
          </w:p>
        </w:tc>
        <w:tc>
          <w:tcPr>
            <w:tcW w:w="344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黔东南州教育局</w:t>
            </w:r>
          </w:p>
        </w:tc>
        <w:tc>
          <w:tcPr>
            <w:tcW w:w="24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8500564</w:t>
            </w:r>
          </w:p>
        </w:tc>
        <w:tc>
          <w:tcPr>
            <w:tcW w:w="209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val="en-US" w:eastAsia="zh-CN"/>
              </w:rPr>
              <w:t>6</w:t>
            </w:r>
          </w:p>
        </w:tc>
        <w:tc>
          <w:tcPr>
            <w:tcW w:w="344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黔东南州工业和信息化局</w:t>
            </w:r>
          </w:p>
        </w:tc>
        <w:tc>
          <w:tcPr>
            <w:tcW w:w="24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8222216</w:t>
            </w:r>
          </w:p>
        </w:tc>
        <w:tc>
          <w:tcPr>
            <w:tcW w:w="209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val="en-US" w:eastAsia="zh-CN"/>
              </w:rPr>
              <w:t>7</w:t>
            </w:r>
          </w:p>
        </w:tc>
        <w:tc>
          <w:tcPr>
            <w:tcW w:w="344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黔东南州公安局</w:t>
            </w:r>
          </w:p>
        </w:tc>
        <w:tc>
          <w:tcPr>
            <w:tcW w:w="24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8512262</w:t>
            </w:r>
          </w:p>
        </w:tc>
        <w:tc>
          <w:tcPr>
            <w:tcW w:w="209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val="en-US" w:eastAsia="zh-CN"/>
              </w:rPr>
              <w:t>8</w:t>
            </w:r>
          </w:p>
        </w:tc>
        <w:tc>
          <w:tcPr>
            <w:tcW w:w="344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黔东南州民政局</w:t>
            </w:r>
          </w:p>
        </w:tc>
        <w:tc>
          <w:tcPr>
            <w:tcW w:w="24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8223856</w:t>
            </w:r>
          </w:p>
        </w:tc>
        <w:tc>
          <w:tcPr>
            <w:tcW w:w="209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8220213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val="en-US" w:eastAsia="zh-CN"/>
              </w:rPr>
              <w:t>9</w:t>
            </w:r>
          </w:p>
        </w:tc>
        <w:tc>
          <w:tcPr>
            <w:tcW w:w="344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黔东南州财政局</w:t>
            </w:r>
          </w:p>
        </w:tc>
        <w:tc>
          <w:tcPr>
            <w:tcW w:w="24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8239596</w:t>
            </w:r>
          </w:p>
        </w:tc>
        <w:tc>
          <w:tcPr>
            <w:tcW w:w="209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1</w:t>
            </w:r>
            <w:r>
              <w:rPr>
                <w:rFonts w:hint="eastAsia" w:ascii="仿宋_GB2312" w:hAnsi="仿宋_GB2312" w:eastAsia="仿宋_GB2312" w:cs="仿宋_GB2312"/>
                <w:b w:val="0"/>
                <w:bCs/>
                <w:color w:val="auto"/>
                <w:sz w:val="24"/>
                <w:szCs w:val="24"/>
                <w:highlight w:val="none"/>
                <w:lang w:val="en-US" w:eastAsia="zh-CN"/>
              </w:rPr>
              <w:t>0</w:t>
            </w:r>
          </w:p>
        </w:tc>
        <w:tc>
          <w:tcPr>
            <w:tcW w:w="344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黔东南州住房城乡建设局</w:t>
            </w:r>
          </w:p>
        </w:tc>
        <w:tc>
          <w:tcPr>
            <w:tcW w:w="24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8222487</w:t>
            </w:r>
          </w:p>
        </w:tc>
        <w:tc>
          <w:tcPr>
            <w:tcW w:w="209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1</w:t>
            </w:r>
            <w:r>
              <w:rPr>
                <w:rFonts w:hint="eastAsia" w:ascii="仿宋_GB2312" w:hAnsi="仿宋_GB2312" w:eastAsia="仿宋_GB2312" w:cs="仿宋_GB2312"/>
                <w:b w:val="0"/>
                <w:bCs/>
                <w:color w:val="auto"/>
                <w:sz w:val="24"/>
                <w:szCs w:val="24"/>
                <w:highlight w:val="none"/>
                <w:lang w:val="en-US" w:eastAsia="zh-CN"/>
              </w:rPr>
              <w:t>1</w:t>
            </w:r>
          </w:p>
        </w:tc>
        <w:tc>
          <w:tcPr>
            <w:tcW w:w="344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黔东南州交通运输局</w:t>
            </w:r>
          </w:p>
        </w:tc>
        <w:tc>
          <w:tcPr>
            <w:tcW w:w="24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8221106</w:t>
            </w:r>
          </w:p>
        </w:tc>
        <w:tc>
          <w:tcPr>
            <w:tcW w:w="209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12</w:t>
            </w:r>
          </w:p>
        </w:tc>
        <w:tc>
          <w:tcPr>
            <w:tcW w:w="344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黔东南州农业农村局</w:t>
            </w:r>
          </w:p>
        </w:tc>
        <w:tc>
          <w:tcPr>
            <w:tcW w:w="24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8227621</w:t>
            </w:r>
          </w:p>
        </w:tc>
        <w:tc>
          <w:tcPr>
            <w:tcW w:w="209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1</w:t>
            </w:r>
            <w:r>
              <w:rPr>
                <w:rFonts w:hint="eastAsia" w:ascii="仿宋_GB2312" w:hAnsi="仿宋_GB2312" w:eastAsia="仿宋_GB2312" w:cs="仿宋_GB2312"/>
                <w:b w:val="0"/>
                <w:bCs/>
                <w:color w:val="auto"/>
                <w:sz w:val="24"/>
                <w:szCs w:val="24"/>
                <w:highlight w:val="none"/>
                <w:lang w:val="en-US" w:eastAsia="zh-CN"/>
              </w:rPr>
              <w:t>3</w:t>
            </w:r>
          </w:p>
        </w:tc>
        <w:tc>
          <w:tcPr>
            <w:tcW w:w="344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黔东南州水务局</w:t>
            </w:r>
          </w:p>
        </w:tc>
        <w:tc>
          <w:tcPr>
            <w:tcW w:w="24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8222194</w:t>
            </w:r>
          </w:p>
        </w:tc>
        <w:tc>
          <w:tcPr>
            <w:tcW w:w="209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1</w:t>
            </w:r>
            <w:r>
              <w:rPr>
                <w:rFonts w:hint="eastAsia" w:ascii="仿宋_GB2312" w:hAnsi="仿宋_GB2312" w:eastAsia="仿宋_GB2312" w:cs="仿宋_GB2312"/>
                <w:b w:val="0"/>
                <w:bCs/>
                <w:color w:val="auto"/>
                <w:sz w:val="24"/>
                <w:szCs w:val="24"/>
                <w:highlight w:val="none"/>
                <w:lang w:val="en-US" w:eastAsia="zh-CN"/>
              </w:rPr>
              <w:t>4</w:t>
            </w:r>
          </w:p>
        </w:tc>
        <w:tc>
          <w:tcPr>
            <w:tcW w:w="344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黔东南州自然资源局</w:t>
            </w:r>
          </w:p>
        </w:tc>
        <w:tc>
          <w:tcPr>
            <w:tcW w:w="24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2110688、8063875</w:t>
            </w:r>
          </w:p>
        </w:tc>
        <w:tc>
          <w:tcPr>
            <w:tcW w:w="209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1</w:t>
            </w:r>
            <w:r>
              <w:rPr>
                <w:rFonts w:hint="eastAsia" w:ascii="仿宋_GB2312" w:hAnsi="仿宋_GB2312" w:eastAsia="仿宋_GB2312" w:cs="仿宋_GB2312"/>
                <w:b w:val="0"/>
                <w:bCs/>
                <w:color w:val="auto"/>
                <w:sz w:val="24"/>
                <w:szCs w:val="24"/>
                <w:highlight w:val="none"/>
                <w:lang w:val="en-US" w:eastAsia="zh-CN"/>
              </w:rPr>
              <w:t>5</w:t>
            </w:r>
          </w:p>
        </w:tc>
        <w:tc>
          <w:tcPr>
            <w:tcW w:w="344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黔东南州商务局</w:t>
            </w:r>
          </w:p>
        </w:tc>
        <w:tc>
          <w:tcPr>
            <w:tcW w:w="24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8224213</w:t>
            </w:r>
          </w:p>
        </w:tc>
        <w:tc>
          <w:tcPr>
            <w:tcW w:w="209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1</w:t>
            </w:r>
            <w:r>
              <w:rPr>
                <w:rFonts w:hint="eastAsia" w:ascii="仿宋_GB2312" w:hAnsi="仿宋_GB2312" w:eastAsia="仿宋_GB2312" w:cs="仿宋_GB2312"/>
                <w:b w:val="0"/>
                <w:bCs/>
                <w:color w:val="auto"/>
                <w:sz w:val="24"/>
                <w:szCs w:val="24"/>
                <w:highlight w:val="none"/>
                <w:lang w:val="en-US" w:eastAsia="zh-CN"/>
              </w:rPr>
              <w:t>6</w:t>
            </w:r>
          </w:p>
        </w:tc>
        <w:tc>
          <w:tcPr>
            <w:tcW w:w="344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黔东南州卫生健康局</w:t>
            </w:r>
          </w:p>
        </w:tc>
        <w:tc>
          <w:tcPr>
            <w:tcW w:w="24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8218513</w:t>
            </w:r>
          </w:p>
        </w:tc>
        <w:tc>
          <w:tcPr>
            <w:tcW w:w="209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1</w:t>
            </w:r>
            <w:r>
              <w:rPr>
                <w:rFonts w:hint="eastAsia" w:ascii="仿宋_GB2312" w:hAnsi="仿宋_GB2312" w:eastAsia="仿宋_GB2312" w:cs="仿宋_GB2312"/>
                <w:b w:val="0"/>
                <w:bCs/>
                <w:color w:val="auto"/>
                <w:sz w:val="24"/>
                <w:szCs w:val="24"/>
                <w:highlight w:val="none"/>
                <w:lang w:val="en-US" w:eastAsia="zh-CN"/>
              </w:rPr>
              <w:t>7</w:t>
            </w:r>
          </w:p>
        </w:tc>
        <w:tc>
          <w:tcPr>
            <w:tcW w:w="344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黔东南州林业局</w:t>
            </w:r>
          </w:p>
        </w:tc>
        <w:tc>
          <w:tcPr>
            <w:tcW w:w="24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8250197</w:t>
            </w:r>
          </w:p>
        </w:tc>
        <w:tc>
          <w:tcPr>
            <w:tcW w:w="209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1</w:t>
            </w:r>
            <w:r>
              <w:rPr>
                <w:rFonts w:hint="eastAsia" w:ascii="仿宋_GB2312" w:hAnsi="仿宋_GB2312" w:eastAsia="仿宋_GB2312" w:cs="仿宋_GB2312"/>
                <w:b w:val="0"/>
                <w:bCs/>
                <w:color w:val="auto"/>
                <w:sz w:val="24"/>
                <w:szCs w:val="24"/>
                <w:highlight w:val="none"/>
                <w:lang w:val="en-US" w:eastAsia="zh-CN"/>
              </w:rPr>
              <w:t>8</w:t>
            </w:r>
          </w:p>
        </w:tc>
        <w:tc>
          <w:tcPr>
            <w:tcW w:w="344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黔东南州文体广电旅游局</w:t>
            </w:r>
          </w:p>
        </w:tc>
        <w:tc>
          <w:tcPr>
            <w:tcW w:w="24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8271081</w:t>
            </w:r>
          </w:p>
        </w:tc>
        <w:tc>
          <w:tcPr>
            <w:tcW w:w="209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19</w:t>
            </w:r>
          </w:p>
        </w:tc>
        <w:tc>
          <w:tcPr>
            <w:tcW w:w="344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黔东南州委宣传部</w:t>
            </w:r>
          </w:p>
        </w:tc>
        <w:tc>
          <w:tcPr>
            <w:tcW w:w="24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8222554</w:t>
            </w:r>
          </w:p>
        </w:tc>
        <w:tc>
          <w:tcPr>
            <w:tcW w:w="209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20</w:t>
            </w:r>
          </w:p>
        </w:tc>
        <w:tc>
          <w:tcPr>
            <w:tcW w:w="344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黔东南州气象局</w:t>
            </w:r>
          </w:p>
        </w:tc>
        <w:tc>
          <w:tcPr>
            <w:tcW w:w="24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8502027</w:t>
            </w:r>
          </w:p>
        </w:tc>
        <w:tc>
          <w:tcPr>
            <w:tcW w:w="209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21</w:t>
            </w:r>
          </w:p>
        </w:tc>
        <w:tc>
          <w:tcPr>
            <w:tcW w:w="344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州水文水资源局</w:t>
            </w:r>
          </w:p>
        </w:tc>
        <w:tc>
          <w:tcPr>
            <w:tcW w:w="24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8236315</w:t>
            </w:r>
          </w:p>
        </w:tc>
        <w:tc>
          <w:tcPr>
            <w:tcW w:w="209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2</w:t>
            </w:r>
            <w:r>
              <w:rPr>
                <w:rFonts w:hint="eastAsia" w:ascii="仿宋_GB2312" w:hAnsi="仿宋_GB2312" w:eastAsia="仿宋_GB2312" w:cs="仿宋_GB2312"/>
                <w:b w:val="0"/>
                <w:bCs/>
                <w:color w:val="auto"/>
                <w:sz w:val="24"/>
                <w:szCs w:val="24"/>
                <w:highlight w:val="none"/>
                <w:lang w:val="en-US" w:eastAsia="zh-CN"/>
              </w:rPr>
              <w:t>2</w:t>
            </w:r>
          </w:p>
        </w:tc>
        <w:tc>
          <w:tcPr>
            <w:tcW w:w="344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凯里供电局</w:t>
            </w:r>
          </w:p>
        </w:tc>
        <w:tc>
          <w:tcPr>
            <w:tcW w:w="24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8533349</w:t>
            </w:r>
          </w:p>
        </w:tc>
        <w:tc>
          <w:tcPr>
            <w:tcW w:w="209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2</w:t>
            </w:r>
            <w:r>
              <w:rPr>
                <w:rFonts w:hint="eastAsia" w:ascii="仿宋_GB2312" w:hAnsi="仿宋_GB2312" w:eastAsia="仿宋_GB2312" w:cs="仿宋_GB2312"/>
                <w:b w:val="0"/>
                <w:bCs/>
                <w:color w:val="auto"/>
                <w:sz w:val="24"/>
                <w:szCs w:val="24"/>
                <w:highlight w:val="none"/>
                <w:lang w:val="en-US" w:eastAsia="zh-CN"/>
              </w:rPr>
              <w:t>3</w:t>
            </w:r>
          </w:p>
        </w:tc>
        <w:tc>
          <w:tcPr>
            <w:tcW w:w="344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凯里军分区</w:t>
            </w:r>
          </w:p>
        </w:tc>
        <w:tc>
          <w:tcPr>
            <w:tcW w:w="24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8735010</w:t>
            </w:r>
          </w:p>
        </w:tc>
        <w:tc>
          <w:tcPr>
            <w:tcW w:w="209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2</w:t>
            </w:r>
            <w:r>
              <w:rPr>
                <w:rFonts w:hint="eastAsia" w:ascii="仿宋_GB2312" w:hAnsi="仿宋_GB2312" w:eastAsia="仿宋_GB2312" w:cs="仿宋_GB2312"/>
                <w:b w:val="0"/>
                <w:bCs/>
                <w:color w:val="auto"/>
                <w:sz w:val="24"/>
                <w:szCs w:val="24"/>
                <w:highlight w:val="none"/>
                <w:lang w:val="en-US" w:eastAsia="zh-CN"/>
              </w:rPr>
              <w:t>4</w:t>
            </w:r>
          </w:p>
        </w:tc>
        <w:tc>
          <w:tcPr>
            <w:tcW w:w="344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州消防救援支队</w:t>
            </w:r>
          </w:p>
        </w:tc>
        <w:tc>
          <w:tcPr>
            <w:tcW w:w="24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8066412</w:t>
            </w:r>
          </w:p>
        </w:tc>
        <w:tc>
          <w:tcPr>
            <w:tcW w:w="209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2</w:t>
            </w:r>
            <w:r>
              <w:rPr>
                <w:rFonts w:hint="eastAsia" w:ascii="仿宋_GB2312" w:hAnsi="仿宋_GB2312" w:eastAsia="仿宋_GB2312" w:cs="仿宋_GB2312"/>
                <w:b w:val="0"/>
                <w:bCs/>
                <w:color w:val="auto"/>
                <w:sz w:val="24"/>
                <w:szCs w:val="24"/>
                <w:highlight w:val="none"/>
                <w:lang w:val="en-US" w:eastAsia="zh-CN"/>
              </w:rPr>
              <w:t>5</w:t>
            </w:r>
          </w:p>
        </w:tc>
        <w:tc>
          <w:tcPr>
            <w:tcW w:w="344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州武警支队</w:t>
            </w:r>
          </w:p>
        </w:tc>
        <w:tc>
          <w:tcPr>
            <w:tcW w:w="24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8603880</w:t>
            </w:r>
          </w:p>
        </w:tc>
        <w:tc>
          <w:tcPr>
            <w:tcW w:w="209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8603858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2</w:t>
            </w:r>
            <w:r>
              <w:rPr>
                <w:rFonts w:hint="eastAsia" w:ascii="仿宋_GB2312" w:hAnsi="仿宋_GB2312" w:eastAsia="仿宋_GB2312" w:cs="仿宋_GB2312"/>
                <w:b w:val="0"/>
                <w:bCs/>
                <w:color w:val="auto"/>
                <w:sz w:val="24"/>
                <w:szCs w:val="24"/>
                <w:highlight w:val="none"/>
                <w:lang w:val="en-US" w:eastAsia="zh-CN"/>
              </w:rPr>
              <w:t>6</w:t>
            </w:r>
          </w:p>
        </w:tc>
        <w:tc>
          <w:tcPr>
            <w:tcW w:w="344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中国移动黔东南州分公司</w:t>
            </w:r>
          </w:p>
        </w:tc>
        <w:tc>
          <w:tcPr>
            <w:tcW w:w="24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3839002</w:t>
            </w:r>
          </w:p>
        </w:tc>
        <w:tc>
          <w:tcPr>
            <w:tcW w:w="209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2</w:t>
            </w:r>
            <w:r>
              <w:rPr>
                <w:rFonts w:hint="eastAsia" w:ascii="仿宋_GB2312" w:hAnsi="仿宋_GB2312" w:eastAsia="仿宋_GB2312" w:cs="仿宋_GB2312"/>
                <w:b w:val="0"/>
                <w:bCs/>
                <w:color w:val="auto"/>
                <w:sz w:val="24"/>
                <w:szCs w:val="24"/>
                <w:highlight w:val="none"/>
                <w:lang w:val="en-US" w:eastAsia="zh-CN"/>
              </w:rPr>
              <w:t>7</w:t>
            </w:r>
          </w:p>
        </w:tc>
        <w:tc>
          <w:tcPr>
            <w:tcW w:w="344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中国电信黔东南州分公司</w:t>
            </w:r>
          </w:p>
        </w:tc>
        <w:tc>
          <w:tcPr>
            <w:tcW w:w="24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8221242</w:t>
            </w:r>
          </w:p>
        </w:tc>
        <w:tc>
          <w:tcPr>
            <w:tcW w:w="209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8061764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2</w:t>
            </w:r>
            <w:r>
              <w:rPr>
                <w:rFonts w:hint="eastAsia" w:ascii="仿宋_GB2312" w:hAnsi="仿宋_GB2312" w:eastAsia="仿宋_GB2312" w:cs="仿宋_GB2312"/>
                <w:b w:val="0"/>
                <w:bCs/>
                <w:color w:val="auto"/>
                <w:sz w:val="24"/>
                <w:szCs w:val="24"/>
                <w:highlight w:val="none"/>
                <w:lang w:val="en-US" w:eastAsia="zh-CN"/>
              </w:rPr>
              <w:t>8</w:t>
            </w:r>
          </w:p>
        </w:tc>
        <w:tc>
          <w:tcPr>
            <w:tcW w:w="344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中国联通黔东南州分公司</w:t>
            </w:r>
          </w:p>
        </w:tc>
        <w:tc>
          <w:tcPr>
            <w:tcW w:w="24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8255866</w:t>
            </w:r>
          </w:p>
        </w:tc>
        <w:tc>
          <w:tcPr>
            <w:tcW w:w="209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w:t>
            </w:r>
          </w:p>
        </w:tc>
      </w:tr>
    </w:tbl>
    <w:p/>
    <w:sectPr>
      <w:pgSz w:w="11906" w:h="16838"/>
      <w:pgMar w:top="2098" w:right="1417"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 Y 35+ ZFC Bl 6">
    <w:altName w:val="Arial"/>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sz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2"/>
        <w:sz w:val="24"/>
        <w:szCs w:val="24"/>
        <w:lang w:val="en-US" w:eastAsia="zh-CN" w:bidi="ar-SA"/>
      </w:rPr>
    </w:pPr>
    <w:r>
      <w:rPr>
        <w:rFonts w:ascii="Calibri" w:hAnsi="Calibri" w:eastAsia="宋体" w:cs="Times New Roman"/>
        <w:kern w:val="2"/>
        <w:sz w:val="24"/>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24"/>
                              <w:szCs w:val="24"/>
                              <w:lang w:val="en-US" w:eastAsia="zh-CN" w:bidi="ar-SA"/>
                            </w:rPr>
                            <w:fldChar w:fldCharType="begin"/>
                          </w:r>
                          <w:r>
                            <w:rPr>
                              <w:rFonts w:ascii="Calibri" w:hAnsi="Calibri" w:eastAsia="宋体" w:cs="Times New Roman"/>
                              <w:kern w:val="2"/>
                              <w:sz w:val="24"/>
                              <w:szCs w:val="24"/>
                              <w:lang w:val="en-US" w:eastAsia="zh-CN" w:bidi="ar-SA"/>
                            </w:rPr>
                            <w:instrText xml:space="preserve">PAGE   \* MERGEFORMAT</w:instrText>
                          </w:r>
                          <w:r>
                            <w:rPr>
                              <w:rFonts w:ascii="Calibri" w:hAnsi="Calibri" w:eastAsia="宋体" w:cs="Times New Roman"/>
                              <w:kern w:val="2"/>
                              <w:sz w:val="24"/>
                              <w:szCs w:val="24"/>
                              <w:lang w:val="en-US" w:eastAsia="zh-CN" w:bidi="ar-SA"/>
                            </w:rPr>
                            <w:fldChar w:fldCharType="separate"/>
                          </w:r>
                          <w:r>
                            <w:rPr>
                              <w:rFonts w:ascii="Calibri" w:hAnsi="Calibri" w:eastAsia="宋体" w:cs="Times New Roman"/>
                              <w:kern w:val="2"/>
                              <w:sz w:val="24"/>
                              <w:szCs w:val="24"/>
                              <w:lang w:val="zh-CN" w:eastAsia="zh-CN" w:bidi="ar-SA"/>
                            </w:rPr>
                            <w:t>49</w:t>
                          </w:r>
                          <w:r>
                            <w:rPr>
                              <w:rFonts w:ascii="Calibri" w:hAnsi="Calibri" w:eastAsia="宋体" w:cs="Times New Roman"/>
                              <w:kern w:val="2"/>
                              <w:sz w:val="24"/>
                              <w:szCs w:val="24"/>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3AR2soBAACb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fU+K4xYmff/44//pz/v2d&#10;oA8F6gPUmHcfMDMN7/yAazP7AZ2Z96CizV9kRDCO8p4u8sohEZEfrZarVYUhgbH5gvjs4XmIkN5L&#10;b0k2GhpxfkVWfvwIaUydU3I15++0MWWGxv3jQMzsYbn3scdspWE3TIR2vj0hnx5H31CHm06J+eBQ&#10;2bwlsxFnYzcbhxD1vitrlOtBuD0kbKL0liuMsFNhnFlhN+1XXorH95L18E9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3AR2soBAACbAwAADgAAAAAAAAABACAAAAAeAQAAZHJzL2Uyb0Rv&#10;Yy54bWxQSwUGAAAAAAYABgBZAQAAWgUAAAAA&#10;">
              <v:fill on="f" focussize="0,0"/>
              <v:stroke on="f"/>
              <v:imagedata o:title=""/>
              <o:lock v:ext="edit" aspectratio="f"/>
              <v:textbox inset="0mm,0mm,0mm,0mm" style="mso-fit-shape-to-text:t;">
                <w:txbxContent>
                  <w:p>
                    <w:pPr>
                      <w:widowControl w:val="0"/>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24"/>
                        <w:szCs w:val="24"/>
                        <w:lang w:val="en-US" w:eastAsia="zh-CN" w:bidi="ar-SA"/>
                      </w:rPr>
                      <w:fldChar w:fldCharType="begin"/>
                    </w:r>
                    <w:r>
                      <w:rPr>
                        <w:rFonts w:ascii="Calibri" w:hAnsi="Calibri" w:eastAsia="宋体" w:cs="Times New Roman"/>
                        <w:kern w:val="2"/>
                        <w:sz w:val="24"/>
                        <w:szCs w:val="24"/>
                        <w:lang w:val="en-US" w:eastAsia="zh-CN" w:bidi="ar-SA"/>
                      </w:rPr>
                      <w:instrText xml:space="preserve">PAGE   \* MERGEFORMAT</w:instrText>
                    </w:r>
                    <w:r>
                      <w:rPr>
                        <w:rFonts w:ascii="Calibri" w:hAnsi="Calibri" w:eastAsia="宋体" w:cs="Times New Roman"/>
                        <w:kern w:val="2"/>
                        <w:sz w:val="24"/>
                        <w:szCs w:val="24"/>
                        <w:lang w:val="en-US" w:eastAsia="zh-CN" w:bidi="ar-SA"/>
                      </w:rPr>
                      <w:fldChar w:fldCharType="separate"/>
                    </w:r>
                    <w:r>
                      <w:rPr>
                        <w:rFonts w:ascii="Calibri" w:hAnsi="Calibri" w:eastAsia="宋体" w:cs="Times New Roman"/>
                        <w:kern w:val="2"/>
                        <w:sz w:val="24"/>
                        <w:szCs w:val="24"/>
                        <w:lang w:val="zh-CN" w:eastAsia="zh-CN" w:bidi="ar-SA"/>
                      </w:rPr>
                      <w:t>49</w:t>
                    </w:r>
                    <w:r>
                      <w:rPr>
                        <w:rFonts w:ascii="Calibri" w:hAnsi="Calibri" w:eastAsia="宋体" w:cs="Times New Roman"/>
                        <w:kern w:val="2"/>
                        <w:sz w:val="24"/>
                        <w:szCs w:val="24"/>
                        <w:lang w:val="en-US" w:eastAsia="zh-CN" w:bidi="ar-S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09D54"/>
    <w:multiLevelType w:val="singleLevel"/>
    <w:tmpl w:val="CB809D54"/>
    <w:lvl w:ilvl="0" w:tentative="0">
      <w:start w:val="1"/>
      <w:numFmt w:val="decimal"/>
      <w:suff w:val="nothing"/>
      <w:lvlText w:val="（%1）"/>
      <w:lvlJc w:val="left"/>
    </w:lvl>
  </w:abstractNum>
  <w:abstractNum w:abstractNumId="1">
    <w:nsid w:val="106A7E9A"/>
    <w:multiLevelType w:val="singleLevel"/>
    <w:tmpl w:val="106A7E9A"/>
    <w:lvl w:ilvl="0" w:tentative="0">
      <w:start w:val="2"/>
      <w:numFmt w:val="decimal"/>
      <w:suff w:val="nothing"/>
      <w:lvlText w:val="（%1）"/>
      <w:lvlJc w:val="left"/>
    </w:lvl>
  </w:abstractNum>
  <w:abstractNum w:abstractNumId="2">
    <w:nsid w:val="56777BBF"/>
    <w:multiLevelType w:val="singleLevel"/>
    <w:tmpl w:val="56777BBF"/>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M2Y0MzE2MjY5ZmIxNjk2NzM5YTFkOTZmNmZkNDQifQ=="/>
  </w:docVars>
  <w:rsids>
    <w:rsidRoot w:val="0DF81549"/>
    <w:rsid w:val="00A45FB8"/>
    <w:rsid w:val="033D3793"/>
    <w:rsid w:val="04150C46"/>
    <w:rsid w:val="079052BE"/>
    <w:rsid w:val="08E13942"/>
    <w:rsid w:val="09573154"/>
    <w:rsid w:val="09595242"/>
    <w:rsid w:val="099E0166"/>
    <w:rsid w:val="0ACE1F85"/>
    <w:rsid w:val="0CB11013"/>
    <w:rsid w:val="0CE716A4"/>
    <w:rsid w:val="0DF81549"/>
    <w:rsid w:val="106C2707"/>
    <w:rsid w:val="10F92DFD"/>
    <w:rsid w:val="12A836CA"/>
    <w:rsid w:val="12FA1630"/>
    <w:rsid w:val="13815D2A"/>
    <w:rsid w:val="13E747E6"/>
    <w:rsid w:val="140D4F56"/>
    <w:rsid w:val="15AD6AF2"/>
    <w:rsid w:val="18100890"/>
    <w:rsid w:val="191E7DE4"/>
    <w:rsid w:val="1B481805"/>
    <w:rsid w:val="1BA3681A"/>
    <w:rsid w:val="1C6A36D4"/>
    <w:rsid w:val="1DF83E91"/>
    <w:rsid w:val="1E6941A8"/>
    <w:rsid w:val="206D63FA"/>
    <w:rsid w:val="213056EF"/>
    <w:rsid w:val="224915F6"/>
    <w:rsid w:val="22E575AD"/>
    <w:rsid w:val="233671D5"/>
    <w:rsid w:val="23CD46BC"/>
    <w:rsid w:val="23D83E1C"/>
    <w:rsid w:val="263822C3"/>
    <w:rsid w:val="26CE6AE4"/>
    <w:rsid w:val="26E95913"/>
    <w:rsid w:val="28612632"/>
    <w:rsid w:val="29AA3D09"/>
    <w:rsid w:val="29FB10CF"/>
    <w:rsid w:val="2A0D0781"/>
    <w:rsid w:val="2AC04617"/>
    <w:rsid w:val="2C2B2ECE"/>
    <w:rsid w:val="2C512479"/>
    <w:rsid w:val="2C8132A3"/>
    <w:rsid w:val="2F763CFB"/>
    <w:rsid w:val="2F9608AC"/>
    <w:rsid w:val="30C60346"/>
    <w:rsid w:val="31584644"/>
    <w:rsid w:val="316F46E9"/>
    <w:rsid w:val="31CC1DA3"/>
    <w:rsid w:val="3240150B"/>
    <w:rsid w:val="33AA6627"/>
    <w:rsid w:val="34920D67"/>
    <w:rsid w:val="358C7174"/>
    <w:rsid w:val="363C404E"/>
    <w:rsid w:val="36E52343"/>
    <w:rsid w:val="371F60A5"/>
    <w:rsid w:val="372C1FCE"/>
    <w:rsid w:val="38EA67D4"/>
    <w:rsid w:val="39033519"/>
    <w:rsid w:val="394A2B62"/>
    <w:rsid w:val="39953D7F"/>
    <w:rsid w:val="3B247C0D"/>
    <w:rsid w:val="3C434876"/>
    <w:rsid w:val="3D3962F7"/>
    <w:rsid w:val="3E113A2D"/>
    <w:rsid w:val="3EE94444"/>
    <w:rsid w:val="3F070F5F"/>
    <w:rsid w:val="40FF0BF3"/>
    <w:rsid w:val="41F640AF"/>
    <w:rsid w:val="43925A50"/>
    <w:rsid w:val="44DF5318"/>
    <w:rsid w:val="470C024B"/>
    <w:rsid w:val="47530EFF"/>
    <w:rsid w:val="4771473F"/>
    <w:rsid w:val="47F737D2"/>
    <w:rsid w:val="48960DF5"/>
    <w:rsid w:val="489E7E0D"/>
    <w:rsid w:val="48A3571D"/>
    <w:rsid w:val="48E21D88"/>
    <w:rsid w:val="4A22312B"/>
    <w:rsid w:val="4B0C6CE7"/>
    <w:rsid w:val="4C90746A"/>
    <w:rsid w:val="4EE748D6"/>
    <w:rsid w:val="4FA174E6"/>
    <w:rsid w:val="515F735C"/>
    <w:rsid w:val="51735BF2"/>
    <w:rsid w:val="52622BE5"/>
    <w:rsid w:val="54E92247"/>
    <w:rsid w:val="54E963B6"/>
    <w:rsid w:val="55195F9E"/>
    <w:rsid w:val="552D4C02"/>
    <w:rsid w:val="554E26D1"/>
    <w:rsid w:val="556751B6"/>
    <w:rsid w:val="559347E7"/>
    <w:rsid w:val="56CF2B1A"/>
    <w:rsid w:val="570E15FB"/>
    <w:rsid w:val="577E64AD"/>
    <w:rsid w:val="578506B3"/>
    <w:rsid w:val="582A17CE"/>
    <w:rsid w:val="58A564A4"/>
    <w:rsid w:val="58C3061C"/>
    <w:rsid w:val="5A2B3848"/>
    <w:rsid w:val="5B0F3EA5"/>
    <w:rsid w:val="5C2A6FBF"/>
    <w:rsid w:val="5CD617C4"/>
    <w:rsid w:val="5DA327CA"/>
    <w:rsid w:val="5DF64431"/>
    <w:rsid w:val="5DFB50DF"/>
    <w:rsid w:val="5E9F44A1"/>
    <w:rsid w:val="602D64CC"/>
    <w:rsid w:val="61AD069D"/>
    <w:rsid w:val="61C471B3"/>
    <w:rsid w:val="620B4394"/>
    <w:rsid w:val="63651E97"/>
    <w:rsid w:val="63AB553A"/>
    <w:rsid w:val="645C06E4"/>
    <w:rsid w:val="663F14FE"/>
    <w:rsid w:val="682E63C3"/>
    <w:rsid w:val="688B0A2A"/>
    <w:rsid w:val="69392979"/>
    <w:rsid w:val="69F543AD"/>
    <w:rsid w:val="6A732A8D"/>
    <w:rsid w:val="6AB06526"/>
    <w:rsid w:val="6B916AFD"/>
    <w:rsid w:val="6C5841D9"/>
    <w:rsid w:val="6D875C64"/>
    <w:rsid w:val="6DCC7F54"/>
    <w:rsid w:val="6DE138B3"/>
    <w:rsid w:val="6E162B44"/>
    <w:rsid w:val="6F2A519D"/>
    <w:rsid w:val="700216A3"/>
    <w:rsid w:val="72DA4A88"/>
    <w:rsid w:val="740D580A"/>
    <w:rsid w:val="744814C1"/>
    <w:rsid w:val="74D0106D"/>
    <w:rsid w:val="758E18A9"/>
    <w:rsid w:val="768C116D"/>
    <w:rsid w:val="77A06E95"/>
    <w:rsid w:val="78670929"/>
    <w:rsid w:val="787E7953"/>
    <w:rsid w:val="78EB2B05"/>
    <w:rsid w:val="79EC2B6B"/>
    <w:rsid w:val="7A1E525A"/>
    <w:rsid w:val="7B4D7408"/>
    <w:rsid w:val="7CEF48D2"/>
    <w:rsid w:val="7D1851F6"/>
    <w:rsid w:val="7EC16416"/>
    <w:rsid w:val="7F8E2D2E"/>
    <w:rsid w:val="7FDE5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keepNext/>
      <w:keepLines/>
      <w:widowControl w:val="0"/>
      <w:spacing w:afterLines="50" w:line="440" w:lineRule="exact"/>
      <w:jc w:val="left"/>
      <w:outlineLvl w:val="1"/>
    </w:pPr>
    <w:rPr>
      <w:rFonts w:ascii="Cambria" w:hAnsi="Cambria" w:eastAsia="宋体" w:cs="Times New Roman"/>
      <w:b/>
      <w:bCs/>
      <w:kern w:val="0"/>
      <w:sz w:val="24"/>
      <w:szCs w:val="32"/>
      <w:lang w:val="zh-CN" w:eastAsia="zh-CN" w:bidi="ar-SA"/>
    </w:rPr>
  </w:style>
  <w:style w:type="paragraph" w:styleId="4">
    <w:name w:val="heading 3"/>
    <w:next w:val="1"/>
    <w:unhideWhenUsed/>
    <w:qFormat/>
    <w:uiPriority w:val="0"/>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paragraph" w:styleId="5">
    <w:name w:val="heading 4"/>
    <w:next w:val="1"/>
    <w:qFormat/>
    <w:uiPriority w:val="0"/>
    <w:pPr>
      <w:keepNext/>
      <w:keepLines/>
      <w:widowControl w:val="0"/>
      <w:spacing w:before="200" w:beforeLines="0" w:after="0" w:afterLines="0"/>
      <w:jc w:val="both"/>
      <w:outlineLvl w:val="3"/>
    </w:pPr>
    <w:rPr>
      <w:rFonts w:ascii="Cambria" w:hAnsi="Cambria" w:eastAsia="宋体" w:cs="Times New Roman"/>
      <w:b/>
      <w:bCs/>
      <w:i/>
      <w:iCs/>
      <w:color w:val="4F81BD"/>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Times New Roman" w:hAnsi="Times New Roman" w:eastAsia="宋体" w:cs="Calibri"/>
      <w:kern w:val="2"/>
      <w:sz w:val="18"/>
      <w:szCs w:val="18"/>
      <w:lang w:val="en-US" w:eastAsia="zh-CN" w:bidi="ar-SA"/>
    </w:rPr>
  </w:style>
  <w:style w:type="paragraph" w:styleId="6">
    <w:name w:val="Body Text Indent"/>
    <w:qFormat/>
    <w:uiPriority w:val="0"/>
    <w:pPr>
      <w:widowControl w:val="0"/>
      <w:ind w:firstLine="560" w:firstLineChars="200"/>
      <w:jc w:val="both"/>
    </w:pPr>
    <w:rPr>
      <w:rFonts w:ascii="宋体" w:hAnsi="宋体" w:eastAsia="宋体" w:cs="Times New Roman"/>
      <w:kern w:val="2"/>
      <w:sz w:val="28"/>
      <w:szCs w:val="18"/>
      <w:lang w:val="en-US" w:eastAsia="en-US" w:bidi="en-US"/>
    </w:rPr>
  </w:style>
  <w:style w:type="paragraph" w:styleId="7">
    <w:name w:val="toc 3"/>
    <w:basedOn w:val="1"/>
    <w:next w:val="1"/>
    <w:qFormat/>
    <w:uiPriority w:val="0"/>
    <w:pPr>
      <w:ind w:left="840" w:leftChars="4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next w:val="1"/>
    <w:unhideWhenUsed/>
    <w:qFormat/>
    <w:uiPriority w:val="39"/>
    <w:pPr>
      <w:widowControl w:val="0"/>
      <w:jc w:val="both"/>
    </w:pPr>
    <w:rPr>
      <w:rFonts w:ascii="Times New Roman" w:hAnsi="Times New Roman" w:eastAsia="宋体" w:cs="Calibri"/>
      <w:kern w:val="2"/>
      <w:sz w:val="21"/>
      <w:szCs w:val="21"/>
      <w:lang w:val="en-US" w:eastAsia="zh-CN" w:bidi="ar-SA"/>
    </w:rPr>
  </w:style>
  <w:style w:type="paragraph" w:styleId="10">
    <w:name w:val="footnote text"/>
    <w:unhideWhenUsed/>
    <w:qFormat/>
    <w:uiPriority w:val="99"/>
    <w:pPr>
      <w:widowControl w:val="0"/>
      <w:snapToGrid w:val="0"/>
      <w:jc w:val="left"/>
    </w:pPr>
    <w:rPr>
      <w:rFonts w:ascii="Times New Roman" w:hAnsi="Times New Roman" w:eastAsia="宋体" w:cs="Times New Roman"/>
      <w:kern w:val="2"/>
      <w:sz w:val="18"/>
      <w:szCs w:val="24"/>
      <w:lang w:val="en-US" w:eastAsia="zh-CN" w:bidi="ar-SA"/>
    </w:rPr>
  </w:style>
  <w:style w:type="paragraph" w:styleId="11">
    <w:name w:val="toc 2"/>
    <w:next w:val="1"/>
    <w:unhideWhenUsed/>
    <w:qFormat/>
    <w:uiPriority w:val="39"/>
    <w:pPr>
      <w:widowControl w:val="0"/>
      <w:ind w:left="420" w:leftChars="200"/>
      <w:jc w:val="both"/>
    </w:pPr>
    <w:rPr>
      <w:rFonts w:ascii="Times New Roman" w:hAnsi="Times New Roman" w:eastAsia="宋体" w:cs="Calibri"/>
      <w:kern w:val="2"/>
      <w:sz w:val="21"/>
      <w:szCs w:val="21"/>
      <w:lang w:val="en-US" w:eastAsia="zh-CN" w:bidi="ar-SA"/>
    </w:rPr>
  </w:style>
  <w:style w:type="paragraph" w:styleId="12">
    <w:name w:val="Normal (Web)"/>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14">
    <w:name w:val="Table Grid"/>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styleId="17">
    <w:name w:val="footnote reference"/>
    <w:unhideWhenUsed/>
    <w:qFormat/>
    <w:uiPriority w:val="99"/>
    <w:rPr>
      <w:vertAlign w:val="superscript"/>
    </w:rPr>
  </w:style>
  <w:style w:type="paragraph" w:customStyle="1" w:styleId="18">
    <w:name w:val="Default"/>
    <w:qFormat/>
    <w:uiPriority w:val="0"/>
    <w:pPr>
      <w:widowControl w:val="0"/>
      <w:autoSpaceDE w:val="0"/>
      <w:autoSpaceDN w:val="0"/>
      <w:adjustRightInd w:val="0"/>
    </w:pPr>
    <w:rPr>
      <w:rFonts w:ascii="D Y 35+ ZFC Bl 6" w:hAnsi="D Y 35+ ZFC Bl 6" w:eastAsia="宋体" w:cs="D Y 35+ ZFC Bl 6"/>
      <w:color w:val="000000"/>
      <w:sz w:val="24"/>
      <w:szCs w:val="24"/>
      <w:lang w:val="en-US" w:eastAsia="zh-CN" w:bidi="ar-SA"/>
    </w:rPr>
  </w:style>
  <w:style w:type="character" w:customStyle="1" w:styleId="19">
    <w:name w:val="font01"/>
    <w:basedOn w:val="15"/>
    <w:qFormat/>
    <w:uiPriority w:val="0"/>
    <w:rPr>
      <w:rFonts w:hint="eastAsia" w:ascii="宋体" w:hAnsi="宋体" w:eastAsia="宋体" w:cs="宋体"/>
      <w:color w:val="000000"/>
      <w:sz w:val="22"/>
      <w:szCs w:val="22"/>
      <w:u w:val="none"/>
    </w:rPr>
  </w:style>
  <w:style w:type="character" w:customStyle="1" w:styleId="20">
    <w:name w:val="font31"/>
    <w:basedOn w:val="15"/>
    <w:qFormat/>
    <w:uiPriority w:val="0"/>
    <w:rPr>
      <w:rFonts w:ascii="Calibri" w:hAnsi="Calibri" w:cs="Calibri"/>
      <w:color w:val="000000"/>
      <w:sz w:val="22"/>
      <w:szCs w:val="22"/>
      <w:u w:val="none"/>
    </w:rPr>
  </w:style>
  <w:style w:type="character" w:customStyle="1" w:styleId="21">
    <w:name w:val="font21"/>
    <w:basedOn w:val="15"/>
    <w:qFormat/>
    <w:uiPriority w:val="0"/>
    <w:rPr>
      <w:rFonts w:hint="eastAsia" w:ascii="宋体" w:hAnsi="宋体" w:eastAsia="宋体" w:cs="宋体"/>
      <w:color w:val="000000"/>
      <w:sz w:val="22"/>
      <w:szCs w:val="22"/>
      <w:u w:val="none"/>
    </w:rPr>
  </w:style>
  <w:style w:type="character" w:customStyle="1" w:styleId="22">
    <w:name w:val="font11"/>
    <w:basedOn w:val="15"/>
    <w:qFormat/>
    <w:uiPriority w:val="0"/>
    <w:rPr>
      <w:rFonts w:hint="default" w:ascii="Calibri" w:hAnsi="Calibri" w:cs="Calibri"/>
      <w:color w:val="000000"/>
      <w:sz w:val="22"/>
      <w:szCs w:val="22"/>
      <w:u w:val="none"/>
    </w:rPr>
  </w:style>
  <w:style w:type="paragraph" w:customStyle="1" w:styleId="23">
    <w:name w:val="TOC 标题1"/>
    <w:next w:val="1"/>
    <w:qFormat/>
    <w:uiPriority w:val="39"/>
    <w:pPr>
      <w:keepNext/>
      <w:keepLines/>
      <w:widowControl/>
      <w:spacing w:before="240" w:after="0" w:line="259" w:lineRule="auto"/>
      <w:jc w:val="left"/>
      <w:outlineLvl w:val="9"/>
    </w:pPr>
    <w:rPr>
      <w:rFonts w:ascii="Calibri Light" w:hAnsi="Calibri Light" w:eastAsia="宋体" w:cs="Times New Roman"/>
      <w:color w:val="2E74B5"/>
      <w:kern w:val="0"/>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22331</Words>
  <Characters>23898</Characters>
  <Lines>0</Lines>
  <Paragraphs>0</Paragraphs>
  <TotalTime>26</TotalTime>
  <ScaleCrop>false</ScaleCrop>
  <LinksUpToDate>false</LinksUpToDate>
  <CharactersWithSpaces>24195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2022-08-17T07:16:00Z</dcterms:created>
  <dc:creator>哥无所用心</dc:creator>
  <cp:lastModifiedBy>哥无所用心</cp:lastModifiedBy>
  <dcterms:modified xsi:type="dcterms:W3CDTF">2022-10-08T05:34:34Z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5E62A71244B949DA93D3DD89277AA060</vt:lpwstr>
  </property>
</Properties>
</file>